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Times New Roman"/>
          <w:sz w:val="44"/>
          <w:szCs w:val="44"/>
        </w:rPr>
      </w:pP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元谋县</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年“三公”经费决算</w:t>
      </w:r>
    </w:p>
    <w:p>
      <w:pPr>
        <w:spacing w:line="600" w:lineRule="exact"/>
        <w:jc w:val="center"/>
        <w:rPr>
          <w:rFonts w:ascii="Times New Roman" w:hAnsi="Times New Roman" w:eastAsia="仿宋_GB2312" w:cs="Times New Roman"/>
          <w:sz w:val="30"/>
          <w:szCs w:val="30"/>
        </w:rPr>
      </w:pPr>
      <w:r>
        <w:rPr>
          <w:rFonts w:hint="eastAsia" w:ascii="方正小标宋简体" w:hAnsi="方正小标宋简体" w:eastAsia="方正小标宋简体" w:cs="方正小标宋简体"/>
          <w:sz w:val="44"/>
          <w:szCs w:val="44"/>
        </w:rPr>
        <w:t>支出情况说明</w:t>
      </w:r>
    </w:p>
    <w:p>
      <w:pPr>
        <w:spacing w:line="54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仿宋_GB2312"/>
          <w:sz w:val="30"/>
          <w:szCs w:val="30"/>
        </w:rPr>
        <w:t>根据国务院关于推进政府预算信息公开的决策部署和元谋县人民政府工作安排，元谋县财政局对</w:t>
      </w: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年度“三公经费”决算数进行统计汇总，并报经县人民政府同意，元谋县部门包括全县行政单位、事业单位以及其他使用一般公共预算财政拨款安排</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经费单位</w:t>
      </w: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经费决算情况如下：</w:t>
      </w:r>
    </w:p>
    <w:p>
      <w:pPr>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年度，元谋县一般公共预算财政拨款</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经费支出决算汇总数为</w:t>
      </w:r>
      <w:r>
        <w:rPr>
          <w:rFonts w:ascii="Times New Roman" w:hAnsi="Times New Roman" w:eastAsia="仿宋_GB2312" w:cs="Times New Roman"/>
          <w:sz w:val="30"/>
          <w:szCs w:val="30"/>
        </w:rPr>
        <w:t>845.61</w:t>
      </w:r>
      <w:r>
        <w:rPr>
          <w:rFonts w:hint="eastAsia" w:ascii="Times New Roman" w:hAnsi="Times New Roman" w:eastAsia="仿宋_GB2312" w:cs="仿宋_GB2312"/>
          <w:sz w:val="30"/>
          <w:szCs w:val="30"/>
        </w:rPr>
        <w:t>万元，较上年增加</w:t>
      </w:r>
      <w:r>
        <w:rPr>
          <w:rFonts w:ascii="Times New Roman" w:hAnsi="Times New Roman" w:eastAsia="仿宋_GB2312" w:cs="Times New Roman"/>
          <w:sz w:val="30"/>
          <w:szCs w:val="30"/>
        </w:rPr>
        <w:t>162.16</w:t>
      </w:r>
      <w:r>
        <w:rPr>
          <w:rFonts w:hint="eastAsia" w:ascii="Times New Roman" w:hAnsi="Times New Roman" w:eastAsia="仿宋_GB2312" w:cs="仿宋_GB2312"/>
          <w:sz w:val="30"/>
          <w:szCs w:val="30"/>
        </w:rPr>
        <w:t>万元，增长</w:t>
      </w:r>
      <w:r>
        <w:rPr>
          <w:rFonts w:ascii="Times New Roman" w:hAnsi="Times New Roman" w:eastAsia="仿宋_GB2312" w:cs="Times New Roman"/>
          <w:sz w:val="30"/>
          <w:szCs w:val="30"/>
        </w:rPr>
        <w:t>23.73%</w:t>
      </w:r>
      <w:r>
        <w:rPr>
          <w:rFonts w:hint="eastAsia" w:ascii="Times New Roman" w:hAnsi="Times New Roman" w:eastAsia="仿宋_GB2312" w:cs="仿宋_GB2312"/>
          <w:sz w:val="30"/>
          <w:szCs w:val="30"/>
        </w:rPr>
        <w:t>。其中：因公出国（境）费为</w:t>
      </w:r>
      <w:r>
        <w:rPr>
          <w:rFonts w:ascii="Times New Roman" w:hAnsi="Times New Roman" w:eastAsia="仿宋_GB2312" w:cs="Times New Roman"/>
          <w:sz w:val="30"/>
          <w:szCs w:val="30"/>
        </w:rPr>
        <w:t>0</w:t>
      </w:r>
      <w:r>
        <w:rPr>
          <w:rFonts w:hint="eastAsia" w:ascii="Times New Roman" w:hAnsi="Times New Roman" w:eastAsia="仿宋_GB2312" w:cs="仿宋_GB2312"/>
          <w:sz w:val="30"/>
          <w:szCs w:val="30"/>
        </w:rPr>
        <w:t>万元，与上年相</w:t>
      </w:r>
      <w:bookmarkStart w:id="0" w:name="_GoBack"/>
      <w:bookmarkEnd w:id="0"/>
      <w:r>
        <w:rPr>
          <w:rFonts w:hint="eastAsia" w:ascii="Times New Roman" w:hAnsi="Times New Roman" w:eastAsia="仿宋_GB2312" w:cs="仿宋_GB2312"/>
          <w:sz w:val="30"/>
          <w:szCs w:val="30"/>
        </w:rPr>
        <w:t>比无增减变化，共计安排因公出国（境）团组</w:t>
      </w:r>
      <w:r>
        <w:rPr>
          <w:rFonts w:ascii="Times New Roman" w:hAnsi="Times New Roman" w:eastAsia="仿宋_GB2312" w:cs="Times New Roman"/>
          <w:sz w:val="30"/>
          <w:szCs w:val="30"/>
        </w:rPr>
        <w:t>0</w:t>
      </w:r>
      <w:r>
        <w:rPr>
          <w:rFonts w:hint="eastAsia" w:ascii="Times New Roman" w:hAnsi="Times New Roman" w:eastAsia="仿宋_GB2312" w:cs="仿宋_GB2312"/>
          <w:sz w:val="30"/>
          <w:szCs w:val="30"/>
        </w:rPr>
        <w:t>个，因公出国（境）</w:t>
      </w:r>
      <w:r>
        <w:rPr>
          <w:rFonts w:ascii="Times New Roman" w:hAnsi="Times New Roman" w:eastAsia="仿宋_GB2312" w:cs="Times New Roman"/>
          <w:sz w:val="30"/>
          <w:szCs w:val="30"/>
        </w:rPr>
        <w:t>0</w:t>
      </w:r>
      <w:r>
        <w:rPr>
          <w:rFonts w:hint="eastAsia" w:ascii="Times New Roman" w:hAnsi="Times New Roman" w:eastAsia="仿宋_GB2312" w:cs="仿宋_GB2312"/>
          <w:sz w:val="30"/>
          <w:szCs w:val="30"/>
        </w:rPr>
        <w:t>人次。公务接待费为</w:t>
      </w:r>
      <w:r>
        <w:rPr>
          <w:rFonts w:ascii="Times New Roman" w:hAnsi="Times New Roman" w:eastAsia="仿宋_GB2312" w:cs="Times New Roman"/>
          <w:sz w:val="30"/>
          <w:szCs w:val="30"/>
        </w:rPr>
        <w:t>383.55</w:t>
      </w:r>
      <w:r>
        <w:rPr>
          <w:rFonts w:hint="eastAsia" w:ascii="Times New Roman" w:hAnsi="Times New Roman" w:eastAsia="仿宋_GB2312" w:cs="仿宋_GB2312"/>
          <w:sz w:val="30"/>
          <w:szCs w:val="30"/>
        </w:rPr>
        <w:t>万元，较上年</w:t>
      </w:r>
      <w:r>
        <w:rPr>
          <w:rFonts w:ascii="Times New Roman" w:hAnsi="Times New Roman" w:eastAsia="仿宋_GB2312" w:cs="Times New Roman"/>
          <w:sz w:val="30"/>
          <w:szCs w:val="30"/>
        </w:rPr>
        <w:t>339.48</w:t>
      </w:r>
      <w:r>
        <w:rPr>
          <w:rFonts w:hint="eastAsia" w:ascii="Times New Roman" w:hAnsi="Times New Roman" w:eastAsia="仿宋_GB2312" w:cs="仿宋_GB2312"/>
          <w:sz w:val="30"/>
          <w:szCs w:val="30"/>
        </w:rPr>
        <w:t>万元增加</w:t>
      </w:r>
      <w:r>
        <w:rPr>
          <w:rFonts w:ascii="Times New Roman" w:hAnsi="Times New Roman" w:eastAsia="仿宋_GB2312" w:cs="Times New Roman"/>
          <w:sz w:val="30"/>
          <w:szCs w:val="30"/>
        </w:rPr>
        <w:t>44.07</w:t>
      </w:r>
      <w:r>
        <w:rPr>
          <w:rFonts w:hint="eastAsia" w:ascii="Times New Roman" w:hAnsi="Times New Roman" w:eastAsia="仿宋_GB2312" w:cs="仿宋_GB2312"/>
          <w:sz w:val="30"/>
          <w:szCs w:val="30"/>
        </w:rPr>
        <w:t>万元，增长</w:t>
      </w:r>
      <w:r>
        <w:rPr>
          <w:rFonts w:ascii="Times New Roman" w:hAnsi="Times New Roman" w:eastAsia="仿宋_GB2312" w:cs="Times New Roman"/>
          <w:sz w:val="30"/>
          <w:szCs w:val="30"/>
        </w:rPr>
        <w:t>12.98%</w:t>
      </w:r>
      <w:r>
        <w:rPr>
          <w:rFonts w:hint="eastAsia" w:ascii="Times New Roman" w:hAnsi="Times New Roman" w:eastAsia="仿宋_GB2312" w:cs="仿宋_GB2312"/>
          <w:sz w:val="30"/>
          <w:szCs w:val="30"/>
        </w:rPr>
        <w:t>，国内公务接待批次为</w:t>
      </w:r>
      <w:r>
        <w:rPr>
          <w:rFonts w:ascii="Times New Roman" w:hAnsi="Times New Roman" w:eastAsia="仿宋_GB2312" w:cs="Times New Roman"/>
          <w:sz w:val="30"/>
          <w:szCs w:val="30"/>
        </w:rPr>
        <w:t>8624</w:t>
      </w:r>
      <w:r>
        <w:rPr>
          <w:rFonts w:hint="eastAsia" w:ascii="Times New Roman" w:hAnsi="Times New Roman" w:eastAsia="仿宋_GB2312" w:cs="仿宋_GB2312"/>
          <w:sz w:val="30"/>
          <w:szCs w:val="30"/>
        </w:rPr>
        <w:t>次，共计接待</w:t>
      </w:r>
      <w:r>
        <w:rPr>
          <w:rFonts w:ascii="Times New Roman" w:hAnsi="Times New Roman" w:eastAsia="仿宋_GB2312" w:cs="Times New Roman"/>
          <w:sz w:val="30"/>
          <w:szCs w:val="30"/>
        </w:rPr>
        <w:t>65986</w:t>
      </w:r>
      <w:r>
        <w:rPr>
          <w:rFonts w:hint="eastAsia" w:ascii="Times New Roman" w:hAnsi="Times New Roman" w:eastAsia="仿宋_GB2312" w:cs="仿宋_GB2312"/>
          <w:sz w:val="30"/>
          <w:szCs w:val="30"/>
        </w:rPr>
        <w:t>人次。公务用车购置及运行维护费为</w:t>
      </w:r>
      <w:r>
        <w:rPr>
          <w:rFonts w:ascii="Times New Roman" w:hAnsi="Times New Roman" w:eastAsia="仿宋_GB2312" w:cs="Times New Roman"/>
          <w:sz w:val="30"/>
          <w:szCs w:val="30"/>
        </w:rPr>
        <w:t>462.06</w:t>
      </w:r>
      <w:r>
        <w:rPr>
          <w:rFonts w:hint="eastAsia" w:ascii="Times New Roman" w:hAnsi="Times New Roman" w:eastAsia="仿宋_GB2312" w:cs="仿宋_GB2312"/>
          <w:sz w:val="30"/>
          <w:szCs w:val="30"/>
        </w:rPr>
        <w:t>万元，较上年</w:t>
      </w:r>
      <w:r>
        <w:rPr>
          <w:rFonts w:ascii="Times New Roman" w:hAnsi="Times New Roman" w:eastAsia="仿宋_GB2312" w:cs="Times New Roman"/>
          <w:sz w:val="30"/>
          <w:szCs w:val="30"/>
        </w:rPr>
        <w:t>343.97</w:t>
      </w:r>
      <w:r>
        <w:rPr>
          <w:rFonts w:hint="eastAsia" w:ascii="Times New Roman" w:hAnsi="Times New Roman" w:eastAsia="仿宋_GB2312" w:cs="仿宋_GB2312"/>
          <w:sz w:val="30"/>
          <w:szCs w:val="30"/>
        </w:rPr>
        <w:t>万元增加</w:t>
      </w:r>
      <w:r>
        <w:rPr>
          <w:rFonts w:ascii="Times New Roman" w:hAnsi="Times New Roman" w:eastAsia="仿宋_GB2312" w:cs="Times New Roman"/>
          <w:sz w:val="30"/>
          <w:szCs w:val="30"/>
        </w:rPr>
        <w:t>118.09</w:t>
      </w:r>
      <w:r>
        <w:rPr>
          <w:rFonts w:hint="eastAsia" w:ascii="Times New Roman" w:hAnsi="Times New Roman" w:eastAsia="仿宋_GB2312" w:cs="仿宋_GB2312"/>
          <w:sz w:val="30"/>
          <w:szCs w:val="30"/>
        </w:rPr>
        <w:t>万元，增长</w:t>
      </w:r>
      <w:r>
        <w:rPr>
          <w:rFonts w:ascii="Times New Roman" w:hAnsi="Times New Roman" w:eastAsia="仿宋_GB2312" w:cs="Times New Roman"/>
          <w:sz w:val="30"/>
          <w:szCs w:val="30"/>
        </w:rPr>
        <w:t>34.33%</w:t>
      </w:r>
      <w:r>
        <w:rPr>
          <w:rFonts w:hint="eastAsia" w:ascii="Times New Roman" w:hAnsi="Times New Roman" w:eastAsia="仿宋_GB2312" w:cs="仿宋_GB2312"/>
          <w:sz w:val="30"/>
          <w:szCs w:val="30"/>
        </w:rPr>
        <w:t>（其中：公务用车购置费</w:t>
      </w:r>
      <w:r>
        <w:rPr>
          <w:rFonts w:ascii="Times New Roman" w:hAnsi="Times New Roman" w:eastAsia="仿宋_GB2312" w:cs="Times New Roman"/>
          <w:sz w:val="30"/>
          <w:szCs w:val="30"/>
        </w:rPr>
        <w:t>0</w:t>
      </w:r>
      <w:r>
        <w:rPr>
          <w:rFonts w:hint="eastAsia" w:ascii="Times New Roman" w:hAnsi="Times New Roman" w:eastAsia="仿宋_GB2312" w:cs="仿宋_GB2312"/>
          <w:sz w:val="30"/>
          <w:szCs w:val="30"/>
        </w:rPr>
        <w:t>万元，与上年相比无增减变化，公务用车运行维护费</w:t>
      </w:r>
      <w:r>
        <w:rPr>
          <w:rFonts w:ascii="Times New Roman" w:hAnsi="Times New Roman" w:eastAsia="仿宋_GB2312" w:cs="Times New Roman"/>
          <w:sz w:val="30"/>
          <w:szCs w:val="30"/>
        </w:rPr>
        <w:t>462.06</w:t>
      </w:r>
      <w:r>
        <w:rPr>
          <w:rFonts w:hint="eastAsia" w:ascii="Times New Roman" w:hAnsi="Times New Roman" w:eastAsia="仿宋_GB2312" w:cs="仿宋_GB2312"/>
          <w:sz w:val="30"/>
          <w:szCs w:val="30"/>
        </w:rPr>
        <w:t>万元，较上年</w:t>
      </w:r>
      <w:r>
        <w:rPr>
          <w:rFonts w:ascii="Times New Roman" w:hAnsi="Times New Roman" w:eastAsia="仿宋_GB2312" w:cs="Times New Roman"/>
          <w:sz w:val="30"/>
          <w:szCs w:val="30"/>
        </w:rPr>
        <w:t>343.97</w:t>
      </w:r>
      <w:r>
        <w:rPr>
          <w:rFonts w:hint="eastAsia" w:ascii="Times New Roman" w:hAnsi="Times New Roman" w:eastAsia="仿宋_GB2312" w:cs="仿宋_GB2312"/>
          <w:sz w:val="30"/>
          <w:szCs w:val="30"/>
        </w:rPr>
        <w:t>万元增加</w:t>
      </w:r>
      <w:r>
        <w:rPr>
          <w:rFonts w:ascii="Times New Roman" w:hAnsi="Times New Roman" w:eastAsia="仿宋_GB2312" w:cs="Times New Roman"/>
          <w:sz w:val="30"/>
          <w:szCs w:val="30"/>
        </w:rPr>
        <w:t>118.09</w:t>
      </w:r>
      <w:r>
        <w:rPr>
          <w:rFonts w:hint="eastAsia" w:ascii="Times New Roman" w:hAnsi="Times New Roman" w:eastAsia="仿宋_GB2312" w:cs="仿宋_GB2312"/>
          <w:sz w:val="30"/>
          <w:szCs w:val="30"/>
        </w:rPr>
        <w:t>万元，增长</w:t>
      </w:r>
      <w:r>
        <w:rPr>
          <w:rFonts w:ascii="Times New Roman" w:hAnsi="Times New Roman" w:eastAsia="仿宋_GB2312" w:cs="Times New Roman"/>
          <w:sz w:val="30"/>
          <w:szCs w:val="30"/>
        </w:rPr>
        <w:t>34.33%</w:t>
      </w:r>
      <w:r>
        <w:rPr>
          <w:rFonts w:hint="eastAsia" w:ascii="Times New Roman" w:hAnsi="Times New Roman" w:eastAsia="仿宋_GB2312" w:cs="仿宋_GB2312"/>
          <w:sz w:val="30"/>
          <w:szCs w:val="30"/>
        </w:rPr>
        <w:t>）。全年公务用车购置数为</w:t>
      </w:r>
      <w:r>
        <w:rPr>
          <w:rFonts w:ascii="Times New Roman" w:hAnsi="Times New Roman" w:eastAsia="仿宋_GB2312" w:cs="Times New Roman"/>
          <w:sz w:val="30"/>
          <w:szCs w:val="30"/>
        </w:rPr>
        <w:t>0</w:t>
      </w:r>
      <w:r>
        <w:rPr>
          <w:rFonts w:hint="eastAsia" w:ascii="Times New Roman" w:hAnsi="Times New Roman" w:eastAsia="仿宋_GB2312" w:cs="仿宋_GB2312"/>
          <w:sz w:val="30"/>
          <w:szCs w:val="30"/>
        </w:rPr>
        <w:t>辆，年末公务用车保有量为</w:t>
      </w:r>
      <w:r>
        <w:rPr>
          <w:rFonts w:ascii="Times New Roman" w:hAnsi="Times New Roman" w:eastAsia="仿宋_GB2312" w:cs="Times New Roman"/>
          <w:sz w:val="30"/>
          <w:szCs w:val="30"/>
        </w:rPr>
        <w:t>166</w:t>
      </w:r>
      <w:r>
        <w:rPr>
          <w:rFonts w:hint="eastAsia" w:ascii="Times New Roman" w:hAnsi="Times New Roman" w:eastAsia="仿宋_GB2312" w:cs="仿宋_GB2312"/>
          <w:sz w:val="30"/>
          <w:szCs w:val="30"/>
        </w:rPr>
        <w:t>辆。</w:t>
      </w:r>
    </w:p>
    <w:p>
      <w:pPr>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年我县一般公共预算财政拨款</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经费支出决算汇总数为</w:t>
      </w:r>
      <w:r>
        <w:rPr>
          <w:rFonts w:ascii="Times New Roman" w:hAnsi="Times New Roman" w:eastAsia="仿宋_GB2312" w:cs="Times New Roman"/>
          <w:sz w:val="30"/>
          <w:szCs w:val="30"/>
        </w:rPr>
        <w:t>845.61</w:t>
      </w:r>
      <w:r>
        <w:rPr>
          <w:rFonts w:hint="eastAsia" w:ascii="Times New Roman" w:hAnsi="Times New Roman" w:eastAsia="仿宋_GB2312" w:cs="仿宋_GB2312"/>
          <w:sz w:val="30"/>
          <w:szCs w:val="30"/>
        </w:rPr>
        <w:t>万元，较上年</w:t>
      </w:r>
      <w:r>
        <w:rPr>
          <w:rFonts w:ascii="Times New Roman" w:hAnsi="Times New Roman" w:eastAsia="仿宋_GB2312" w:cs="Times New Roman"/>
          <w:sz w:val="30"/>
          <w:szCs w:val="30"/>
        </w:rPr>
        <w:t>683.45</w:t>
      </w:r>
      <w:r>
        <w:rPr>
          <w:rFonts w:hint="eastAsia" w:ascii="Times New Roman" w:hAnsi="Times New Roman" w:eastAsia="仿宋_GB2312" w:cs="仿宋_GB2312"/>
          <w:sz w:val="30"/>
          <w:szCs w:val="30"/>
        </w:rPr>
        <w:t>万元增加</w:t>
      </w:r>
      <w:r>
        <w:rPr>
          <w:rFonts w:ascii="Times New Roman" w:hAnsi="Times New Roman" w:eastAsia="仿宋_GB2312" w:cs="Times New Roman"/>
          <w:sz w:val="30"/>
          <w:szCs w:val="30"/>
        </w:rPr>
        <w:t>162.16</w:t>
      </w:r>
      <w:r>
        <w:rPr>
          <w:rFonts w:hint="eastAsia" w:ascii="Times New Roman" w:hAnsi="Times New Roman" w:eastAsia="仿宋_GB2312" w:cs="仿宋_GB2312"/>
          <w:sz w:val="30"/>
          <w:szCs w:val="30"/>
        </w:rPr>
        <w:t>万元，增长</w:t>
      </w:r>
      <w:r>
        <w:rPr>
          <w:rFonts w:ascii="Times New Roman" w:hAnsi="Times New Roman" w:eastAsia="仿宋_GB2312" w:cs="Times New Roman"/>
          <w:sz w:val="30"/>
          <w:szCs w:val="30"/>
        </w:rPr>
        <w:t>23.73%</w:t>
      </w:r>
      <w:r>
        <w:rPr>
          <w:rFonts w:hint="eastAsia" w:ascii="Times New Roman" w:hAnsi="Times New Roman" w:eastAsia="仿宋_GB2312" w:cs="仿宋_GB2312"/>
          <w:sz w:val="30"/>
          <w:szCs w:val="30"/>
        </w:rPr>
        <w:t>。其中：主要原因是“三公”经费中的公务接待费和公务用车运行维护费均比上年增长，增长率分别为</w:t>
      </w:r>
      <w:r>
        <w:rPr>
          <w:rFonts w:ascii="Times New Roman" w:hAnsi="Times New Roman" w:eastAsia="仿宋_GB2312" w:cs="Times New Roman"/>
          <w:sz w:val="30"/>
          <w:szCs w:val="30"/>
        </w:rPr>
        <w:t>12.98%</w:t>
      </w:r>
      <w:r>
        <w:rPr>
          <w:rFonts w:hint="eastAsia" w:ascii="Times New Roman" w:hAnsi="Times New Roman" w:eastAsia="仿宋_GB2312" w:cs="仿宋_GB2312"/>
          <w:sz w:val="30"/>
          <w:szCs w:val="30"/>
        </w:rPr>
        <w:t>和</w:t>
      </w:r>
      <w:r>
        <w:rPr>
          <w:rFonts w:ascii="Times New Roman" w:hAnsi="Times New Roman" w:eastAsia="仿宋_GB2312" w:cs="Times New Roman"/>
          <w:sz w:val="30"/>
          <w:szCs w:val="30"/>
        </w:rPr>
        <w:t>34.33%</w:t>
      </w:r>
      <w:r>
        <w:rPr>
          <w:rFonts w:hint="eastAsia" w:ascii="Times New Roman" w:hAnsi="Times New Roman" w:eastAsia="仿宋_GB2312" w:cs="仿宋_GB2312"/>
          <w:sz w:val="30"/>
          <w:szCs w:val="30"/>
        </w:rPr>
        <w:t>。公务接待费增长的原因是：我县重点建设项目较多，各级各部门来交流学习及检查项目建设的工作事项较多，所以公务接待费比上年增加</w:t>
      </w:r>
      <w:r>
        <w:rPr>
          <w:rFonts w:ascii="Times New Roman" w:hAnsi="Times New Roman" w:eastAsia="仿宋_GB2312" w:cs="Times New Roman"/>
          <w:sz w:val="30"/>
          <w:szCs w:val="30"/>
        </w:rPr>
        <w:t>44.07</w:t>
      </w:r>
      <w:r>
        <w:rPr>
          <w:rFonts w:hint="eastAsia" w:ascii="Times New Roman" w:hAnsi="Times New Roman" w:eastAsia="仿宋_GB2312" w:cs="仿宋_GB2312"/>
          <w:sz w:val="30"/>
          <w:szCs w:val="30"/>
        </w:rPr>
        <w:t>万元。公务用车运行维护费增长的原因是：我县重点建设项目较多，县级各项目主管部门到项目施工现场指挥建设和监督检查的次数较多，</w:t>
      </w: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年全县各部门各单位开展脱贫攻坚工作较频繁，各单位自有公务用车和公务用车管理平台上的公务用车大部分使用年限已久，所以公务用车的维修成本和运行维护费用比上年增多，公务用车运行维护费比上年增加</w:t>
      </w:r>
      <w:r>
        <w:rPr>
          <w:rFonts w:ascii="Times New Roman" w:hAnsi="Times New Roman" w:eastAsia="仿宋_GB2312" w:cs="Times New Roman"/>
          <w:sz w:val="30"/>
          <w:szCs w:val="30"/>
        </w:rPr>
        <w:t>118.09</w:t>
      </w:r>
      <w:r>
        <w:rPr>
          <w:rFonts w:hint="eastAsia" w:ascii="Times New Roman" w:hAnsi="Times New Roman" w:eastAsia="仿宋_GB2312" w:cs="仿宋_GB2312"/>
          <w:sz w:val="30"/>
          <w:szCs w:val="30"/>
        </w:rPr>
        <w:t>万元。</w:t>
      </w:r>
    </w:p>
    <w:p>
      <w:pPr>
        <w:spacing w:line="54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仿宋_GB2312"/>
          <w:sz w:val="30"/>
          <w:szCs w:val="30"/>
        </w:rPr>
        <w:t>按照中央八项规定和《党政机关厉行节约反对浪费条例》等有关文件精神，以及省委十项规定和省政府关于做好预算信息公开工作的安排部署，元谋县财政局将进一步完善“三公”经费管理制度，加强预算执行管理，严格控制</w:t>
      </w:r>
      <w:r>
        <w:rPr>
          <w:rFonts w:hint="eastAsia" w:ascii="Times New Roman" w:hAnsi="Times New Roman" w:eastAsia="仿宋_GB2312" w:cs="仿宋_GB2312"/>
          <w:sz w:val="30"/>
          <w:szCs w:val="30"/>
          <w:lang w:eastAsia="zh-CN"/>
        </w:rPr>
        <w:t>我</w:t>
      </w:r>
      <w:r>
        <w:rPr>
          <w:rFonts w:hint="eastAsia" w:ascii="Times New Roman" w:hAnsi="Times New Roman" w:eastAsia="仿宋_GB2312" w:cs="仿宋_GB2312"/>
          <w:sz w:val="30"/>
          <w:szCs w:val="30"/>
        </w:rPr>
        <w:t>县“三公”经费支出规模。</w:t>
      </w:r>
    </w:p>
    <w:p>
      <w:pPr>
        <w:spacing w:line="540" w:lineRule="exact"/>
        <w:ind w:left="1796" w:leftChars="284" w:hanging="1200" w:hangingChars="400"/>
        <w:rPr>
          <w:rFonts w:ascii="Times New Roman" w:hAnsi="Times New Roman" w:eastAsia="仿宋_GB2312" w:cs="Times New Roman"/>
          <w:sz w:val="30"/>
          <w:szCs w:val="30"/>
        </w:rPr>
      </w:pPr>
      <w:r>
        <w:rPr>
          <w:rFonts w:hint="eastAsia" w:ascii="Times New Roman" w:hAnsi="Times New Roman" w:eastAsia="仿宋_GB2312" w:cs="仿宋_GB2312"/>
          <w:sz w:val="30"/>
          <w:szCs w:val="30"/>
        </w:rPr>
        <w:t>附件：</w:t>
      </w:r>
      <w:r>
        <w:rPr>
          <w:rFonts w:ascii="Times New Roman" w:hAnsi="Times New Roman" w:eastAsia="仿宋_GB2312" w:cs="Times New Roman"/>
          <w:sz w:val="30"/>
          <w:szCs w:val="30"/>
        </w:rPr>
        <w:t>1.</w:t>
      </w:r>
      <w:r>
        <w:rPr>
          <w:rFonts w:hint="eastAsia" w:ascii="Times New Roman" w:hAnsi="Times New Roman" w:eastAsia="仿宋_GB2312" w:cs="仿宋_GB2312"/>
          <w:sz w:val="30"/>
          <w:szCs w:val="30"/>
        </w:rPr>
        <w:t>元谋县</w:t>
      </w:r>
      <w:r>
        <w:rPr>
          <w:rFonts w:ascii="Times New Roman" w:hAnsi="Times New Roman" w:eastAsia="仿宋_GB2312" w:cs="Times New Roman"/>
          <w:sz w:val="30"/>
          <w:szCs w:val="30"/>
        </w:rPr>
        <w:t>2018</w:t>
      </w:r>
      <w:r>
        <w:rPr>
          <w:rFonts w:hint="eastAsia" w:ascii="Times New Roman" w:hAnsi="Times New Roman" w:eastAsia="仿宋_GB2312" w:cs="仿宋_GB2312"/>
          <w:sz w:val="30"/>
          <w:szCs w:val="30"/>
        </w:rPr>
        <w:t>年</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经费决算汇总对比</w:t>
      </w:r>
    </w:p>
    <w:p>
      <w:pPr>
        <w:spacing w:line="540" w:lineRule="exact"/>
        <w:ind w:left="1789" w:leftChars="852"/>
        <w:rPr>
          <w:rFonts w:ascii="Times New Roman" w:hAnsi="Times New Roman" w:eastAsia="仿宋_GB2312" w:cs="Times New Roman"/>
          <w:sz w:val="30"/>
          <w:szCs w:val="30"/>
        </w:rPr>
      </w:pPr>
      <w:r>
        <w:rPr>
          <w:rFonts w:hint="eastAsia" w:ascii="Times New Roman" w:hAnsi="Times New Roman" w:eastAsia="仿宋_GB2312" w:cs="仿宋_GB2312"/>
          <w:sz w:val="30"/>
          <w:szCs w:val="30"/>
        </w:rPr>
        <w:t>情况表</w:t>
      </w:r>
    </w:p>
    <w:p>
      <w:pPr>
        <w:spacing w:line="540" w:lineRule="exact"/>
        <w:ind w:firstLine="1500" w:firstLineChars="500"/>
        <w:rPr>
          <w:rFonts w:ascii="仿宋_GB2312"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仿宋_GB2312"/>
          <w:sz w:val="30"/>
          <w:szCs w:val="30"/>
        </w:rPr>
        <w:t>、</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三公</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经费口径说明</w:t>
      </w:r>
    </w:p>
    <w:p>
      <w:pPr>
        <w:jc w:val="left"/>
        <w:rPr>
          <w:rFonts w:ascii="仿宋_GB2312" w:hAnsi="仿宋_GB2312" w:eastAsia="仿宋_GB2312" w:cs="Times New Roman"/>
          <w:sz w:val="30"/>
          <w:szCs w:val="30"/>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hint="eastAsia" w:ascii="黑体" w:hAnsi="黑体" w:eastAsia="黑体" w:cs="黑体"/>
          <w:sz w:val="30"/>
          <w:szCs w:val="30"/>
        </w:rPr>
        <w:t>元谋县</w:t>
      </w:r>
      <w:r>
        <w:rPr>
          <w:rFonts w:ascii="黑体" w:hAnsi="黑体" w:eastAsia="黑体" w:cs="黑体"/>
          <w:sz w:val="30"/>
          <w:szCs w:val="30"/>
        </w:rPr>
        <w:t>2018</w:t>
      </w:r>
      <w:r>
        <w:rPr>
          <w:rFonts w:hint="eastAsia" w:ascii="黑体" w:hAnsi="黑体" w:eastAsia="黑体" w:cs="黑体"/>
          <w:sz w:val="30"/>
          <w:szCs w:val="30"/>
        </w:rPr>
        <w:t>年“三公”经费决算汇总对比情况表</w:t>
      </w:r>
    </w:p>
    <w:tbl>
      <w:tblPr>
        <w:tblStyle w:val="6"/>
        <w:tblW w:w="8750" w:type="dxa"/>
        <w:jc w:val="center"/>
        <w:tblInd w:w="-106" w:type="dxa"/>
        <w:tblLayout w:type="fixed"/>
        <w:tblCellMar>
          <w:top w:w="0" w:type="dxa"/>
          <w:left w:w="108" w:type="dxa"/>
          <w:bottom w:w="0" w:type="dxa"/>
          <w:right w:w="108" w:type="dxa"/>
        </w:tblCellMar>
      </w:tblPr>
      <w:tblGrid>
        <w:gridCol w:w="3216"/>
        <w:gridCol w:w="974"/>
        <w:gridCol w:w="945"/>
        <w:gridCol w:w="1785"/>
        <w:gridCol w:w="195"/>
        <w:gridCol w:w="1635"/>
      </w:tblGrid>
      <w:tr>
        <w:tblPrEx>
          <w:tblLayout w:type="fixed"/>
          <w:tblCellMar>
            <w:top w:w="0" w:type="dxa"/>
            <w:left w:w="108" w:type="dxa"/>
            <w:bottom w:w="0" w:type="dxa"/>
            <w:right w:w="108" w:type="dxa"/>
          </w:tblCellMar>
        </w:tblPrEx>
        <w:trPr>
          <w:trHeight w:val="450" w:hRule="atLeast"/>
          <w:jc w:val="center"/>
        </w:trPr>
        <w:tc>
          <w:tcPr>
            <w:tcW w:w="3216" w:type="dxa"/>
            <w:tcBorders>
              <w:top w:val="nil"/>
              <w:left w:val="nil"/>
              <w:bottom w:val="nil"/>
              <w:right w:val="nil"/>
            </w:tcBorders>
            <w:vAlign w:val="bottom"/>
          </w:tcPr>
          <w:p>
            <w:pPr>
              <w:widowControl/>
              <w:jc w:val="left"/>
              <w:rPr>
                <w:rFonts w:ascii="宋体" w:cs="Times New Roman"/>
                <w:color w:val="000000"/>
                <w:kern w:val="0"/>
                <w:sz w:val="20"/>
                <w:szCs w:val="20"/>
              </w:rPr>
            </w:pPr>
          </w:p>
          <w:p>
            <w:pPr>
              <w:widowControl/>
              <w:jc w:val="left"/>
              <w:rPr>
                <w:rFonts w:ascii="宋体" w:cs="Times New Roman"/>
                <w:color w:val="000000"/>
                <w:kern w:val="0"/>
                <w:sz w:val="20"/>
                <w:szCs w:val="20"/>
              </w:rPr>
            </w:pPr>
          </w:p>
        </w:tc>
        <w:tc>
          <w:tcPr>
            <w:tcW w:w="974" w:type="dxa"/>
            <w:tcBorders>
              <w:top w:val="nil"/>
              <w:left w:val="nil"/>
              <w:bottom w:val="nil"/>
              <w:right w:val="nil"/>
            </w:tcBorders>
            <w:vAlign w:val="center"/>
          </w:tcPr>
          <w:p>
            <w:pPr>
              <w:widowControl/>
              <w:jc w:val="right"/>
              <w:rPr>
                <w:rFonts w:ascii="宋体" w:cs="Times New Roman"/>
                <w:color w:val="000000"/>
                <w:kern w:val="0"/>
                <w:sz w:val="20"/>
                <w:szCs w:val="20"/>
              </w:rPr>
            </w:pPr>
          </w:p>
        </w:tc>
        <w:tc>
          <w:tcPr>
            <w:tcW w:w="945" w:type="dxa"/>
            <w:tcBorders>
              <w:top w:val="nil"/>
              <w:left w:val="nil"/>
              <w:bottom w:val="nil"/>
              <w:right w:val="nil"/>
            </w:tcBorders>
            <w:vAlign w:val="center"/>
          </w:tcPr>
          <w:p>
            <w:pPr>
              <w:widowControl/>
              <w:jc w:val="right"/>
              <w:rPr>
                <w:rFonts w:ascii="宋体" w:cs="Times New Roman"/>
                <w:color w:val="000000"/>
                <w:kern w:val="0"/>
                <w:sz w:val="20"/>
                <w:szCs w:val="20"/>
              </w:rPr>
            </w:pPr>
          </w:p>
        </w:tc>
        <w:tc>
          <w:tcPr>
            <w:tcW w:w="1980" w:type="dxa"/>
            <w:gridSpan w:val="2"/>
            <w:tcBorders>
              <w:top w:val="nil"/>
              <w:left w:val="nil"/>
              <w:bottom w:val="nil"/>
              <w:right w:val="nil"/>
            </w:tcBorders>
            <w:vAlign w:val="center"/>
          </w:tcPr>
          <w:p>
            <w:pPr>
              <w:widowControl/>
              <w:jc w:val="right"/>
              <w:rPr>
                <w:rFonts w:ascii="宋体" w:cs="Times New Roman"/>
                <w:color w:val="000000"/>
                <w:kern w:val="0"/>
                <w:sz w:val="20"/>
                <w:szCs w:val="20"/>
              </w:rPr>
            </w:pPr>
          </w:p>
        </w:tc>
        <w:tc>
          <w:tcPr>
            <w:tcW w:w="1635" w:type="dxa"/>
            <w:tcBorders>
              <w:top w:val="nil"/>
              <w:left w:val="nil"/>
              <w:bottom w:val="nil"/>
              <w:right w:val="nil"/>
            </w:tcBorders>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615" w:hRule="atLeast"/>
          <w:jc w:val="center"/>
        </w:trPr>
        <w:tc>
          <w:tcPr>
            <w:tcW w:w="32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上年</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决算数</w:t>
            </w:r>
          </w:p>
        </w:tc>
        <w:tc>
          <w:tcPr>
            <w:tcW w:w="94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本年</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决算数</w:t>
            </w:r>
          </w:p>
        </w:tc>
        <w:tc>
          <w:tcPr>
            <w:tcW w:w="3615"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较上年增减情况</w:t>
            </w:r>
          </w:p>
        </w:tc>
      </w:tr>
      <w:tr>
        <w:tblPrEx>
          <w:tblLayout w:type="fixed"/>
          <w:tblCellMar>
            <w:top w:w="0" w:type="dxa"/>
            <w:left w:w="108" w:type="dxa"/>
            <w:bottom w:w="0" w:type="dxa"/>
            <w:right w:w="108" w:type="dxa"/>
          </w:tblCellMar>
        </w:tblPrEx>
        <w:trPr>
          <w:trHeight w:val="450" w:hRule="atLeast"/>
          <w:jc w:val="center"/>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p>
        </w:tc>
        <w:tc>
          <w:tcPr>
            <w:tcW w:w="9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0"/>
                <w:szCs w:val="20"/>
              </w:rPr>
            </w:pP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增</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、减</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额</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增、减幅度</w:t>
            </w:r>
            <w:r>
              <w:rPr>
                <w:rFonts w:hint="eastAsia" w:ascii="宋体" w:hAnsi="宋体" w:cs="宋体"/>
                <w:color w:val="000000"/>
                <w:kern w:val="0"/>
                <w:sz w:val="20"/>
                <w:szCs w:val="20"/>
                <w:lang w:val="en-US" w:eastAsia="zh-CN"/>
              </w:rPr>
              <w:t>(%)</w:t>
            </w:r>
          </w:p>
        </w:tc>
      </w:tr>
      <w:tr>
        <w:tblPrEx>
          <w:tblLayout w:type="fixed"/>
          <w:tblCellMar>
            <w:top w:w="0" w:type="dxa"/>
            <w:left w:w="108" w:type="dxa"/>
            <w:bottom w:w="0" w:type="dxa"/>
            <w:right w:w="108" w:type="dxa"/>
          </w:tblCellMar>
        </w:tblPrEx>
        <w:trPr>
          <w:trHeight w:val="450" w:hRule="atLeast"/>
          <w:jc w:val="center"/>
        </w:trPr>
        <w:tc>
          <w:tcPr>
            <w:tcW w:w="3216"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683.45 </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845.61</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162.16</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23.73</w:t>
            </w:r>
          </w:p>
        </w:tc>
      </w:tr>
      <w:tr>
        <w:tblPrEx>
          <w:tblLayout w:type="fixed"/>
          <w:tblCellMar>
            <w:top w:w="0" w:type="dxa"/>
            <w:left w:w="108" w:type="dxa"/>
            <w:bottom w:w="0" w:type="dxa"/>
            <w:right w:w="108" w:type="dxa"/>
          </w:tblCellMar>
        </w:tblPrEx>
        <w:trPr>
          <w:trHeight w:val="450" w:hRule="atLeast"/>
          <w:jc w:val="center"/>
        </w:trPr>
        <w:tc>
          <w:tcPr>
            <w:tcW w:w="3216"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、因公出国（境）费</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r>
      <w:tr>
        <w:tblPrEx>
          <w:tblLayout w:type="fixed"/>
          <w:tblCellMar>
            <w:top w:w="0" w:type="dxa"/>
            <w:left w:w="108" w:type="dxa"/>
            <w:bottom w:w="0" w:type="dxa"/>
            <w:right w:w="108" w:type="dxa"/>
          </w:tblCellMar>
        </w:tblPrEx>
        <w:trPr>
          <w:trHeight w:val="450" w:hRule="atLeast"/>
          <w:jc w:val="center"/>
        </w:trPr>
        <w:tc>
          <w:tcPr>
            <w:tcW w:w="3216"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、公务接待费</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339.48</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383.55</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44.07</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12.98</w:t>
            </w:r>
          </w:p>
        </w:tc>
      </w:tr>
      <w:tr>
        <w:tblPrEx>
          <w:tblLayout w:type="fixed"/>
          <w:tblCellMar>
            <w:top w:w="0" w:type="dxa"/>
            <w:left w:w="108" w:type="dxa"/>
            <w:bottom w:w="0" w:type="dxa"/>
            <w:right w:w="108" w:type="dxa"/>
          </w:tblCellMar>
        </w:tblPrEx>
        <w:trPr>
          <w:trHeight w:val="450" w:hRule="atLeast"/>
          <w:jc w:val="center"/>
        </w:trPr>
        <w:tc>
          <w:tcPr>
            <w:tcW w:w="3216"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、公务用车费</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343.97</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462.06</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118.09</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34.33</w:t>
            </w:r>
          </w:p>
        </w:tc>
      </w:tr>
      <w:tr>
        <w:tblPrEx>
          <w:tblLayout w:type="fixed"/>
          <w:tblCellMar>
            <w:top w:w="0" w:type="dxa"/>
            <w:left w:w="108" w:type="dxa"/>
            <w:bottom w:w="0" w:type="dxa"/>
            <w:right w:w="108" w:type="dxa"/>
          </w:tblCellMar>
        </w:tblPrEx>
        <w:trPr>
          <w:trHeight w:val="450" w:hRule="atLeast"/>
          <w:jc w:val="center"/>
        </w:trPr>
        <w:tc>
          <w:tcPr>
            <w:tcW w:w="3216"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w:t>
            </w:r>
            <w:r>
              <w:rPr>
                <w:rFonts w:ascii="宋体" w:hAnsi="宋体" w:cs="宋体"/>
                <w:color w:val="000000"/>
                <w:kern w:val="0"/>
                <w:sz w:val="20"/>
                <w:szCs w:val="20"/>
              </w:rPr>
              <w:t>1</w:t>
            </w:r>
            <w:r>
              <w:rPr>
                <w:rFonts w:hint="eastAsia" w:ascii="宋体" w:hAnsi="宋体" w:cs="宋体"/>
                <w:color w:val="000000"/>
                <w:kern w:val="0"/>
                <w:sz w:val="20"/>
                <w:szCs w:val="20"/>
              </w:rPr>
              <w:t>）公务用车购置</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p>
        </w:tc>
      </w:tr>
      <w:tr>
        <w:tblPrEx>
          <w:tblLayout w:type="fixed"/>
          <w:tblCellMar>
            <w:top w:w="0" w:type="dxa"/>
            <w:left w:w="108" w:type="dxa"/>
            <w:bottom w:w="0" w:type="dxa"/>
            <w:right w:w="108" w:type="dxa"/>
          </w:tblCellMar>
        </w:tblPrEx>
        <w:trPr>
          <w:trHeight w:val="585" w:hRule="atLeast"/>
          <w:jc w:val="center"/>
        </w:trPr>
        <w:tc>
          <w:tcPr>
            <w:tcW w:w="3216" w:type="dxa"/>
            <w:tcBorders>
              <w:top w:val="nil"/>
              <w:left w:val="single" w:color="auto" w:sz="4" w:space="0"/>
              <w:bottom w:val="single" w:color="auto" w:sz="4" w:space="0"/>
              <w:right w:val="single" w:color="auto" w:sz="4" w:space="0"/>
            </w:tcBorders>
            <w:vAlign w:val="center"/>
          </w:tcPr>
          <w:p>
            <w:pPr>
              <w:widowControl/>
              <w:ind w:left="1150" w:leftChars="500" w:hanging="100" w:hangingChars="50"/>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）公务用车运行维护费</w:t>
            </w:r>
          </w:p>
        </w:tc>
        <w:tc>
          <w:tcPr>
            <w:tcW w:w="97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343.97</w:t>
            </w:r>
          </w:p>
        </w:tc>
        <w:tc>
          <w:tcPr>
            <w:tcW w:w="94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462.06</w:t>
            </w:r>
          </w:p>
        </w:tc>
        <w:tc>
          <w:tcPr>
            <w:tcW w:w="17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118.09</w:t>
            </w:r>
          </w:p>
        </w:tc>
        <w:tc>
          <w:tcPr>
            <w:tcW w:w="183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34.33</w:t>
            </w:r>
          </w:p>
        </w:tc>
      </w:tr>
    </w:tbl>
    <w:p>
      <w:pPr>
        <w:rPr>
          <w:rFonts w:ascii="仿宋_GB2312" w:eastAsia="仿宋_GB2312" w:cs="Times New Roman"/>
          <w:sz w:val="30"/>
          <w:szCs w:val="30"/>
        </w:rPr>
      </w:pPr>
    </w:p>
    <w:p>
      <w:p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jc w:val="center"/>
        <w:rPr>
          <w:rFonts w:ascii="黑体" w:hAnsi="黑体" w:eastAsia="黑体" w:cs="Times New Roman"/>
          <w:sz w:val="30"/>
          <w:szCs w:val="30"/>
        </w:rPr>
      </w:pPr>
      <w:r>
        <w:rPr>
          <w:rFonts w:hint="eastAsia" w:ascii="黑体" w:hAnsi="黑体" w:eastAsia="黑体" w:cs="黑体"/>
          <w:sz w:val="30"/>
          <w:szCs w:val="30"/>
        </w:rPr>
        <w:t>“三公”经费口径说明</w:t>
      </w:r>
    </w:p>
    <w:p>
      <w:pPr>
        <w:ind w:firstLine="600" w:firstLineChars="200"/>
        <w:rPr>
          <w:rFonts w:ascii="仿宋_GB2312" w:eastAsia="仿宋_GB2312" w:cs="Times New Roman"/>
          <w:sz w:val="30"/>
          <w:szCs w:val="30"/>
        </w:rPr>
      </w:pPr>
    </w:p>
    <w:p>
      <w:pPr>
        <w:ind w:firstLine="600" w:firstLineChars="200"/>
        <w:rPr>
          <w:rFonts w:ascii="仿宋_GB2312" w:eastAsia="仿宋_GB2312" w:cs="Times New Roman"/>
          <w:sz w:val="30"/>
          <w:szCs w:val="30"/>
        </w:rPr>
      </w:pPr>
      <w:r>
        <w:rPr>
          <w:rFonts w:hint="eastAsia" w:ascii="仿宋_GB2312" w:eastAsia="仿宋_GB2312" w:cs="仿宋_GB2312"/>
          <w:sz w:val="30"/>
          <w:szCs w:val="30"/>
        </w:rPr>
        <w:t>按照党中央、国务院有关文件及部门预算管理有关规定，“三公”经费包括因公出国（境）费、公务用车购置及运行维护费和公务接侍费。</w:t>
      </w:r>
    </w:p>
    <w:p>
      <w:pPr>
        <w:numPr>
          <w:ilvl w:val="0"/>
          <w:numId w:val="1"/>
        </w:numPr>
        <w:ind w:firstLine="600" w:firstLineChars="200"/>
        <w:rPr>
          <w:rFonts w:ascii="仿宋_GB2312" w:eastAsia="仿宋_GB2312" w:cs="仿宋_GB2312"/>
          <w:sz w:val="30"/>
          <w:szCs w:val="30"/>
        </w:rPr>
      </w:pPr>
      <w:r>
        <w:rPr>
          <w:rFonts w:hint="eastAsia" w:ascii="仿宋_GB2312" w:eastAsia="仿宋_GB2312" w:cs="仿宋_GB2312"/>
          <w:sz w:val="30"/>
          <w:szCs w:val="30"/>
        </w:rPr>
        <w:t>因公出国（境）费，指单位公务出国（境）的国际旅费、国外城市间交通费、住宿费、伙食费、培训费、公杂费等支出。</w:t>
      </w:r>
      <w:r>
        <w:rPr>
          <w:rFonts w:ascii="仿宋_GB2312" w:eastAsia="仿宋_GB2312" w:cs="仿宋_GB2312"/>
          <w:sz w:val="30"/>
          <w:szCs w:val="30"/>
        </w:rPr>
        <w:t xml:space="preserve">  </w:t>
      </w:r>
    </w:p>
    <w:p>
      <w:pPr>
        <w:numPr>
          <w:ilvl w:val="0"/>
          <w:numId w:val="1"/>
        </w:numPr>
        <w:ind w:firstLine="600" w:firstLineChars="200"/>
        <w:rPr>
          <w:rFonts w:ascii="仿宋_GB2312" w:eastAsia="仿宋_GB2312" w:cs="仿宋_GB2312"/>
          <w:sz w:val="30"/>
          <w:szCs w:val="30"/>
        </w:rPr>
      </w:pPr>
      <w:r>
        <w:rPr>
          <w:rFonts w:hint="eastAsia" w:ascii="仿宋_GB2312" w:eastAsia="仿宋_GB2312" w:cs="仿宋_GB2312"/>
          <w:sz w:val="30"/>
          <w:szCs w:val="30"/>
        </w:rPr>
        <w:t>公务用车购置费，指公务用车购置支出（含车辆购置税、拍照费）；公务用车运行维护费，指单位按规定保留的公务用车燃料费、维修费、过路过桥费、保险费、安全奖励费用等支出。</w:t>
      </w:r>
      <w:r>
        <w:rPr>
          <w:rFonts w:ascii="仿宋_GB2312" w:eastAsia="仿宋_GB2312" w:cs="仿宋_GB2312"/>
          <w:sz w:val="30"/>
          <w:szCs w:val="30"/>
        </w:rPr>
        <w:t xml:space="preserve"> </w:t>
      </w:r>
    </w:p>
    <w:p>
      <w:pPr>
        <w:numPr>
          <w:ilvl w:val="0"/>
          <w:numId w:val="1"/>
        </w:numPr>
        <w:ind w:firstLine="600" w:firstLineChars="200"/>
        <w:rPr>
          <w:rFonts w:ascii="仿宋_GB2312" w:eastAsia="仿宋_GB2312" w:cs="Times New Roman"/>
          <w:sz w:val="30"/>
          <w:szCs w:val="30"/>
        </w:rPr>
      </w:pPr>
      <w:r>
        <w:rPr>
          <w:rFonts w:hint="eastAsia" w:ascii="仿宋_GB2312" w:eastAsia="仿宋_GB2312" w:cs="仿宋_GB2312"/>
          <w:sz w:val="30"/>
          <w:szCs w:val="30"/>
        </w:rPr>
        <w:t>公务接侍费，指单位按规定开支的各类公务接待（含外宾接待）费用。</w:t>
      </w:r>
    </w:p>
    <w:p>
      <w:pPr>
        <w:ind w:firstLine="600" w:firstLineChars="200"/>
        <w:rPr>
          <w:rFonts w:ascii="仿宋_GB2312" w:eastAsia="仿宋_GB2312" w:cs="Times New Roman"/>
          <w:sz w:val="30"/>
          <w:szCs w:val="30"/>
        </w:rPr>
      </w:pPr>
      <w:r>
        <w:rPr>
          <w:rFonts w:ascii="仿宋_GB2312" w:eastAsia="仿宋_GB2312" w:cs="仿宋_GB2312"/>
          <w:sz w:val="30"/>
          <w:szCs w:val="30"/>
        </w:rPr>
        <w:t>4</w:t>
      </w:r>
      <w:r>
        <w:rPr>
          <w:rFonts w:hint="eastAsia" w:ascii="仿宋_GB2312" w:eastAsia="仿宋_GB2312" w:cs="仿宋_GB2312"/>
          <w:sz w:val="30"/>
          <w:szCs w:val="30"/>
        </w:rPr>
        <w:t>、“三公”经费决算数：指各级各部门（含下属单位）用一般公共预算财政拨款（含上年结转结余和当年预算）安排的因公出国（境）费、公务用车购置及运行维护费和公务接待费支出数。</w:t>
      </w:r>
    </w:p>
    <w:p>
      <w:pPr>
        <w:spacing w:line="600" w:lineRule="exact"/>
        <w:ind w:left="1050" w:leftChars="500"/>
        <w:rPr>
          <w:rFonts w:ascii="仿宋_GB2312" w:eastAsia="仿宋_GB2312" w:cs="Times New Roman"/>
          <w:sz w:val="30"/>
          <w:szCs w:val="30"/>
        </w:rPr>
      </w:pPr>
    </w:p>
    <w:p>
      <w:pPr>
        <w:spacing w:line="600" w:lineRule="exact"/>
        <w:rPr>
          <w:rFonts w:ascii="仿宋_GB2312" w:hAnsi="仿宋_GB2312" w:eastAsia="仿宋_GB2312" w:cs="Times New Roman"/>
          <w:sz w:val="30"/>
          <w:szCs w:val="30"/>
        </w:rPr>
      </w:pPr>
    </w:p>
    <w:p>
      <w:pPr>
        <w:spacing w:line="600" w:lineRule="exact"/>
        <w:rPr>
          <w:rFonts w:ascii="仿宋_GB2312" w:hAnsi="仿宋_GB2312" w:eastAsia="仿宋_GB2312" w:cs="Times New Roman"/>
          <w:sz w:val="30"/>
          <w:szCs w:val="30"/>
        </w:rPr>
      </w:pPr>
    </w:p>
    <w:p>
      <w:pPr>
        <w:spacing w:line="600" w:lineRule="exact"/>
        <w:rPr>
          <w:rFonts w:ascii="仿宋_GB2312" w:hAnsi="仿宋_GB2312" w:eastAsia="仿宋_GB2312" w:cs="Times New Roman"/>
          <w:sz w:val="30"/>
          <w:szCs w:val="30"/>
        </w:rPr>
      </w:pPr>
    </w:p>
    <w:p>
      <w:pPr>
        <w:spacing w:line="600" w:lineRule="exact"/>
        <w:rPr>
          <w:rFonts w:ascii="仿宋_GB2312" w:hAnsi="仿宋_GB2312" w:eastAsia="仿宋_GB2312" w:cs="Times New Roman"/>
          <w:sz w:val="30"/>
          <w:szCs w:val="30"/>
        </w:rPr>
      </w:pPr>
    </w:p>
    <w:p>
      <w:pPr>
        <w:rPr>
          <w:rFonts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altName w:val="仿宋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CC24"/>
    <w:multiLevelType w:val="singleLevel"/>
    <w:tmpl w:val="5D01CC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F306935"/>
    <w:rsid w:val="002141C7"/>
    <w:rsid w:val="002E7359"/>
    <w:rsid w:val="005465FE"/>
    <w:rsid w:val="005A0C6F"/>
    <w:rsid w:val="009967D8"/>
    <w:rsid w:val="009D659D"/>
    <w:rsid w:val="00AD2202"/>
    <w:rsid w:val="00E1165D"/>
    <w:rsid w:val="010B0FF5"/>
    <w:rsid w:val="02776901"/>
    <w:rsid w:val="11D41B81"/>
    <w:rsid w:val="137B2B8A"/>
    <w:rsid w:val="141D2D5D"/>
    <w:rsid w:val="157A20A9"/>
    <w:rsid w:val="17BC656A"/>
    <w:rsid w:val="17FD03CC"/>
    <w:rsid w:val="21D339D7"/>
    <w:rsid w:val="23C067B5"/>
    <w:rsid w:val="29B3750A"/>
    <w:rsid w:val="36BB2444"/>
    <w:rsid w:val="39755785"/>
    <w:rsid w:val="3B980347"/>
    <w:rsid w:val="3CF36204"/>
    <w:rsid w:val="4F306935"/>
    <w:rsid w:val="50E94D34"/>
    <w:rsid w:val="578A3429"/>
    <w:rsid w:val="5CDF1D26"/>
    <w:rsid w:val="60FF3E0C"/>
    <w:rsid w:val="631F434B"/>
    <w:rsid w:val="653633EE"/>
    <w:rsid w:val="68776372"/>
    <w:rsid w:val="6A255E20"/>
    <w:rsid w:val="6B042098"/>
    <w:rsid w:val="6ED504A8"/>
    <w:rsid w:val="6F126429"/>
    <w:rsid w:val="6FF4048E"/>
    <w:rsid w:val="79C94139"/>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云南省财政厅</Company>
  <Pages>3</Pages>
  <Words>249</Words>
  <Characters>1423</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2019-06-13T03:33:00Z</dcterms:created>
  <dc:creator>王艺涵</dc:creator>
  <cp:lastModifiedBy>bb</cp:lastModifiedBy>
  <cp:lastPrinted>2019-08-16T06:39:00Z</cp:lastPrinted>
  <dcterms:modified xsi:type="dcterms:W3CDTF">2019-08-19T08:23:53Z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