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w w:val="100"/>
          <w:sz w:val="52"/>
          <w:szCs w:val="52"/>
        </w:rPr>
      </w:pPr>
      <w:bookmarkStart w:id="95" w:name="_GoBack"/>
      <w:r>
        <w:rPr>
          <w:rFonts w:hint="default" w:ascii="Times New Roman" w:hAnsi="Times New Roman" w:eastAsia="方正小标宋简体" w:cs="Times New Roman"/>
          <w:w w:val="100"/>
          <w:sz w:val="52"/>
          <w:szCs w:val="52"/>
        </w:rPr>
        <w:t>元谋县“十四五”文化和旅游发展规划</w:t>
      </w:r>
    </w:p>
    <w:p>
      <w:pPr>
        <w:jc w:val="center"/>
        <w:rPr>
          <w:rFonts w:hint="default" w:ascii="Times New Roman" w:hAnsi="Times New Roman" w:eastAsia="方正小标宋简体" w:cs="Times New Roman"/>
          <w:w w:val="100"/>
          <w:sz w:val="52"/>
          <w:szCs w:val="52"/>
        </w:rPr>
      </w:pPr>
      <w:r>
        <w:rPr>
          <w:rFonts w:hint="default" w:ascii="Times New Roman" w:hAnsi="Times New Roman" w:eastAsia="方正小标宋简体" w:cs="Times New Roman"/>
          <w:w w:val="100"/>
          <w:sz w:val="52"/>
          <w:szCs w:val="52"/>
        </w:rPr>
        <w:t>（2021-2025）</w:t>
      </w:r>
    </w:p>
    <w:bookmarkEnd w:id="95"/>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 w:val="44"/>
          <w:szCs w:val="44"/>
        </w:rPr>
      </w:pPr>
    </w:p>
    <w:p>
      <w:pPr>
        <w:keepNext w:val="0"/>
        <w:keepLines w:val="0"/>
        <w:pageBreakBefore w:val="0"/>
        <w:widowControl w:val="0"/>
        <w:kinsoku/>
        <w:wordWrap/>
        <w:overflowPunct/>
        <w:topLinePunct w:val="0"/>
        <w:autoSpaceDE/>
        <w:autoSpaceDN/>
        <w:bidi w:val="0"/>
        <w:adjustRightInd/>
        <w:snapToGrid/>
        <w:ind w:left="0" w:leftChars="0" w:firstLine="1320" w:firstLineChars="300"/>
        <w:jc w:val="center"/>
        <w:textAlignment w:val="auto"/>
        <w:rPr>
          <w:rFonts w:hint="default" w:ascii="Times New Roman" w:hAnsi="Times New Roman" w:eastAsia="方正楷体简体" w:cs="Times New Roman"/>
          <w:sz w:val="44"/>
          <w:szCs w:val="44"/>
        </w:rPr>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pPr>
      <w:r>
        <w:rPr>
          <w:rFonts w:hint="default" w:ascii="Times New Roman" w:hAnsi="Times New Roman" w:eastAsia="方正楷体简体" w:cs="Times New Roman"/>
          <w:sz w:val="44"/>
          <w:szCs w:val="44"/>
        </w:rPr>
        <w:t>20</w:t>
      </w:r>
      <w:r>
        <w:rPr>
          <w:rFonts w:hint="default" w:ascii="Times New Roman" w:hAnsi="Times New Roman" w:cs="Times New Roman"/>
          <w:sz w:val="44"/>
          <w:szCs w:val="44"/>
          <w:lang w:val="en-US" w:eastAsia="zh-CN"/>
        </w:rPr>
        <w:t>22</w:t>
      </w:r>
      <w:r>
        <w:rPr>
          <w:rFonts w:hint="default" w:ascii="Times New Roman" w:hAnsi="Times New Roman" w:eastAsia="方正楷体简体" w:cs="Times New Roman"/>
          <w:sz w:val="44"/>
          <w:szCs w:val="44"/>
        </w:rPr>
        <w:t>年1</w:t>
      </w:r>
      <w:r>
        <w:rPr>
          <w:rFonts w:hint="default" w:ascii="Times New Roman" w:hAnsi="Times New Roman" w:cs="Times New Roman"/>
          <w:sz w:val="44"/>
          <w:szCs w:val="44"/>
          <w:lang w:val="en-US" w:eastAsia="zh-CN"/>
        </w:rPr>
        <w:t>0</w:t>
      </w:r>
      <w:r>
        <w:rPr>
          <w:rFonts w:hint="default" w:ascii="Times New Roman" w:hAnsi="Times New Roman" w:eastAsia="方正楷体简体" w:cs="Times New Roman"/>
          <w:sz w:val="44"/>
          <w:szCs w:val="44"/>
        </w:rPr>
        <w:t>月</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前  言</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“十四五”时期（2021-2025），是我国在实现第一个百年奋斗目标全面建成社会主义现在</w:t>
      </w:r>
      <w:r>
        <w:rPr>
          <w:rFonts w:hint="eastAsia" w:eastAsia="仿宋_GB2312" w:cs="Times New Roman"/>
          <w:sz w:val="32"/>
          <w:szCs w:val="32"/>
          <w:lang w:eastAsia="zh-CN"/>
        </w:rPr>
        <w:t>化</w:t>
      </w:r>
      <w:r>
        <w:rPr>
          <w:rFonts w:hint="default" w:ascii="Times New Roman" w:hAnsi="Times New Roman" w:eastAsia="仿宋_GB2312" w:cs="Times New Roman"/>
          <w:sz w:val="32"/>
          <w:szCs w:val="32"/>
        </w:rPr>
        <w:t>国家新征程的第一个五年。站在新的历史发展</w:t>
      </w:r>
      <w:r>
        <w:rPr>
          <w:rFonts w:hint="eastAsia" w:eastAsia="仿宋_GB2312" w:cs="Times New Roman"/>
          <w:sz w:val="32"/>
          <w:szCs w:val="32"/>
          <w:lang w:eastAsia="zh-CN"/>
        </w:rPr>
        <w:t>起</w:t>
      </w:r>
      <w:r>
        <w:rPr>
          <w:rFonts w:hint="default" w:ascii="Times New Roman" w:hAnsi="Times New Roman" w:eastAsia="仿宋_GB2312" w:cs="Times New Roman"/>
          <w:sz w:val="32"/>
          <w:szCs w:val="32"/>
        </w:rPr>
        <w:t>点上，按照习近平总书记提出的“胸怀两个大局”的要求和省委省政府“国际化、高端化、特色化、智慧化”文化旅游发展的要求，紧扣州委“滇中崛起增长极、现代农业示范区、民族团结进步示范区”发展目标和县委“一枢纽两胜地两园两区”发展定位，根据省州对编制“十四五”发展规划的部署安排，从优化存量、培育增量两个维度发力，立足元谋文化旅游发展实际，特编制《元谋县“十四五”文化旅游发展规划（2021-2025）》，为更好发挥规划的导向和统揽作用，加快元谋文化和旅游发展提供科学的规划和政策保障，推动元谋加快实现从旅游过境地向旅游目的地转变做出新的更大贡献。</w:t>
      </w:r>
    </w:p>
    <w:p>
      <w:pPr>
        <w:pStyle w:val="2"/>
        <w:rPr>
          <w:rFonts w:hint="default"/>
        </w:rPr>
      </w:pPr>
    </w:p>
    <w:p>
      <w:pPr>
        <w:pStyle w:val="2"/>
        <w:rPr>
          <w:rFonts w:hint="default"/>
        </w:rPr>
        <w:sectPr>
          <w:pgSz w:w="11906" w:h="16838"/>
          <w:pgMar w:top="1440" w:right="1800" w:bottom="1440" w:left="1800" w:header="851" w:footer="992" w:gutter="0"/>
          <w:pgNumType w:fmt="numberInDash"/>
          <w:cols w:space="425" w:num="1"/>
          <w:docGrid w:type="lines" w:linePitch="312" w:charSpace="0"/>
        </w:sectPr>
      </w:pPr>
    </w:p>
    <w:sdt>
      <w:sdtPr>
        <w:rPr>
          <w:rFonts w:ascii="宋体" w:hAnsi="宋体" w:eastAsia="宋体" w:cstheme="minorBidi"/>
          <w:kern w:val="2"/>
          <w:sz w:val="21"/>
          <w:szCs w:val="24"/>
          <w:lang w:val="en-US" w:eastAsia="zh-CN" w:bidi="ar-SA"/>
        </w:rPr>
        <w:id w:val="942174737"/>
        <w:docPartObj>
          <w:docPartGallery w:val="Table of Contents"/>
          <w:docPartUnique/>
        </w:docPartObj>
      </w:sdtPr>
      <w:sdtEndPr>
        <w:rPr>
          <w:rFonts w:asciiTheme="minorHAnsi" w:hAnsiTheme="minorHAnsi" w:eastAsiaTheme="minorEastAsia"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b w:val="0"/>
              <w:bCs w:val="0"/>
              <w:sz w:val="32"/>
              <w:szCs w:val="32"/>
            </w:rPr>
          </w:pPr>
          <w:bookmarkStart w:id="0" w:name="_Toc672841985_WPSOffice_Type2"/>
          <w:r>
            <w:rPr>
              <w:rFonts w:hint="eastAsia" w:ascii="仿宋_GB2312" w:hAnsi="仿宋_GB2312" w:eastAsia="仿宋_GB2312" w:cs="仿宋_GB2312"/>
              <w:b/>
              <w:bCs/>
              <w:sz w:val="32"/>
              <w:szCs w:val="32"/>
            </w:rPr>
            <w:t>目录</w:t>
          </w:r>
        </w:p>
        <w:p>
          <w:pPr>
            <w:pStyle w:val="9"/>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_Toc1779435439_WPSOffice_Level1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28ab6a46-2ac1-49d5-8b1f-553f5d9771bc}"/>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第一章 全面审视 抢抓文旅发展新机遇</w:t>
              </w:r>
            </w:sdtContent>
          </w:sdt>
          <w:r>
            <w:rPr>
              <w:rFonts w:hint="eastAsia" w:ascii="仿宋_GB2312" w:hAnsi="仿宋_GB2312" w:eastAsia="仿宋_GB2312" w:cs="仿宋_GB2312"/>
              <w:b w:val="0"/>
              <w:bCs w:val="0"/>
              <w:sz w:val="32"/>
              <w:szCs w:val="32"/>
            </w:rPr>
            <w:tab/>
          </w:r>
          <w:bookmarkStart w:id="1" w:name="_Toc1779435439_WPSOffice_Level1Page"/>
          <w:r>
            <w:rPr>
              <w:rFonts w:hint="eastAsia" w:ascii="仿宋_GB2312" w:hAnsi="仿宋_GB2312" w:eastAsia="仿宋_GB2312" w:cs="仿宋_GB2312"/>
              <w:b w:val="0"/>
              <w:bCs w:val="0"/>
              <w:sz w:val="32"/>
              <w:szCs w:val="32"/>
            </w:rPr>
            <w:t>1</w:t>
          </w:r>
          <w:bookmarkEnd w:id="1"/>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_Toc672841985_WPSOffice_Level2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8e9c32a3-fe08-4d87-9380-337fee99b737}"/>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第一节 “十三五”时期文化旅游发展回顾</w:t>
              </w:r>
            </w:sdtContent>
          </w:sdt>
          <w:r>
            <w:rPr>
              <w:rFonts w:hint="eastAsia" w:ascii="仿宋_GB2312" w:hAnsi="仿宋_GB2312" w:eastAsia="仿宋_GB2312" w:cs="仿宋_GB2312"/>
              <w:b w:val="0"/>
              <w:bCs w:val="0"/>
              <w:sz w:val="32"/>
              <w:szCs w:val="32"/>
            </w:rPr>
            <w:tab/>
          </w:r>
          <w:bookmarkStart w:id="2" w:name="_Toc672841985_WPSOffice_Level2Page"/>
          <w:r>
            <w:rPr>
              <w:rFonts w:hint="eastAsia" w:ascii="仿宋_GB2312" w:hAnsi="仿宋_GB2312" w:eastAsia="仿宋_GB2312" w:cs="仿宋_GB2312"/>
              <w:b w:val="0"/>
              <w:bCs w:val="0"/>
              <w:sz w:val="32"/>
              <w:szCs w:val="32"/>
            </w:rPr>
            <w:t>1</w:t>
          </w:r>
          <w:bookmarkEnd w:id="2"/>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_Toc1379907442_WPSOffice_Level2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a45e57ec-1565-46a5-bb43-77e7bc28acf8}"/>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第二节 “十三五”期间存在的主要问题</w:t>
              </w:r>
            </w:sdtContent>
          </w:sdt>
          <w:r>
            <w:rPr>
              <w:rFonts w:hint="eastAsia" w:ascii="仿宋_GB2312" w:hAnsi="仿宋_GB2312" w:eastAsia="仿宋_GB2312" w:cs="仿宋_GB2312"/>
              <w:b w:val="0"/>
              <w:bCs w:val="0"/>
              <w:sz w:val="32"/>
              <w:szCs w:val="32"/>
            </w:rPr>
            <w:tab/>
          </w:r>
          <w:bookmarkStart w:id="3" w:name="_Toc1379907442_WPSOffice_Level2Page"/>
          <w:r>
            <w:rPr>
              <w:rFonts w:hint="eastAsia" w:ascii="仿宋_GB2312" w:hAnsi="仿宋_GB2312" w:eastAsia="仿宋_GB2312" w:cs="仿宋_GB2312"/>
              <w:b w:val="0"/>
              <w:bCs w:val="0"/>
              <w:sz w:val="32"/>
              <w:szCs w:val="32"/>
            </w:rPr>
            <w:t>4</w:t>
          </w:r>
          <w:bookmarkEnd w:id="3"/>
          <w:r>
            <w:rPr>
              <w:rFonts w:hint="eastAsia" w:ascii="仿宋_GB2312" w:hAnsi="仿宋_GB2312" w:eastAsia="仿宋_GB2312" w:cs="仿宋_GB2312"/>
              <w:b w:val="0"/>
              <w:bCs w:val="0"/>
              <w:sz w:val="32"/>
              <w:szCs w:val="32"/>
            </w:rPr>
            <w:fldChar w:fldCharType="end"/>
          </w:r>
        </w:p>
        <w:p>
          <w:pPr>
            <w:pStyle w:val="9"/>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_Toc672841985_WPSOffice_Level1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1d5e59a3-c2bf-4846-bfbd-485c559dc008}"/>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第二章 “十四五”文化和旅游发展面临的形势</w:t>
              </w:r>
            </w:sdtContent>
          </w:sdt>
          <w:r>
            <w:rPr>
              <w:rFonts w:hint="eastAsia" w:ascii="仿宋_GB2312" w:hAnsi="仿宋_GB2312" w:eastAsia="仿宋_GB2312" w:cs="仿宋_GB2312"/>
              <w:b w:val="0"/>
              <w:bCs w:val="0"/>
              <w:sz w:val="32"/>
              <w:szCs w:val="32"/>
            </w:rPr>
            <w:tab/>
          </w:r>
          <w:bookmarkStart w:id="4" w:name="_Toc672841985_WPSOffice_Level1Page"/>
          <w:r>
            <w:rPr>
              <w:rFonts w:hint="eastAsia" w:ascii="仿宋_GB2312" w:hAnsi="仿宋_GB2312" w:eastAsia="仿宋_GB2312" w:cs="仿宋_GB2312"/>
              <w:b w:val="0"/>
              <w:bCs w:val="0"/>
              <w:sz w:val="32"/>
              <w:szCs w:val="32"/>
            </w:rPr>
            <w:t>7</w:t>
          </w:r>
          <w:bookmarkEnd w:id="4"/>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_Toc537579084_WPSOffice_Level2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d40e141e-5b60-44d6-a23f-51d6fdbecbe3}"/>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第一节 “十四五”发展机遇</w:t>
              </w:r>
            </w:sdtContent>
          </w:sdt>
          <w:r>
            <w:rPr>
              <w:rFonts w:hint="eastAsia" w:ascii="仿宋_GB2312" w:hAnsi="仿宋_GB2312" w:eastAsia="仿宋_GB2312" w:cs="仿宋_GB2312"/>
              <w:b w:val="0"/>
              <w:bCs w:val="0"/>
              <w:sz w:val="32"/>
              <w:szCs w:val="32"/>
            </w:rPr>
            <w:tab/>
          </w:r>
          <w:bookmarkStart w:id="5" w:name="_Toc537579084_WPSOffice_Level2Page"/>
          <w:r>
            <w:rPr>
              <w:rFonts w:hint="eastAsia" w:ascii="仿宋_GB2312" w:hAnsi="仿宋_GB2312" w:eastAsia="仿宋_GB2312" w:cs="仿宋_GB2312"/>
              <w:b w:val="0"/>
              <w:bCs w:val="0"/>
              <w:sz w:val="32"/>
              <w:szCs w:val="32"/>
            </w:rPr>
            <w:t>7</w:t>
          </w:r>
          <w:bookmarkEnd w:id="5"/>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_Toc1418006615_WPSOffice_Level2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14ab39a4-162a-4617-be7d-0ffbc5ce0778}"/>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第二节 “十四五”文化旅游发展挑战</w:t>
              </w:r>
            </w:sdtContent>
          </w:sdt>
          <w:r>
            <w:rPr>
              <w:rFonts w:hint="eastAsia" w:ascii="仿宋_GB2312" w:hAnsi="仿宋_GB2312" w:eastAsia="仿宋_GB2312" w:cs="仿宋_GB2312"/>
              <w:b w:val="0"/>
              <w:bCs w:val="0"/>
              <w:sz w:val="32"/>
              <w:szCs w:val="32"/>
            </w:rPr>
            <w:tab/>
          </w:r>
          <w:bookmarkStart w:id="6" w:name="_Toc1418006615_WPSOffice_Level2Page"/>
          <w:r>
            <w:rPr>
              <w:rFonts w:hint="eastAsia" w:ascii="仿宋_GB2312" w:hAnsi="仿宋_GB2312" w:eastAsia="仿宋_GB2312" w:cs="仿宋_GB2312"/>
              <w:b w:val="0"/>
              <w:bCs w:val="0"/>
              <w:sz w:val="32"/>
              <w:szCs w:val="32"/>
            </w:rPr>
            <w:t>9</w:t>
          </w:r>
          <w:bookmarkEnd w:id="6"/>
          <w:r>
            <w:rPr>
              <w:rFonts w:hint="eastAsia" w:ascii="仿宋_GB2312" w:hAnsi="仿宋_GB2312" w:eastAsia="仿宋_GB2312" w:cs="仿宋_GB2312"/>
              <w:b w:val="0"/>
              <w:bCs w:val="0"/>
              <w:sz w:val="32"/>
              <w:szCs w:val="32"/>
            </w:rPr>
            <w:fldChar w:fldCharType="end"/>
          </w:r>
        </w:p>
        <w:p>
          <w:pPr>
            <w:pStyle w:val="9"/>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_Toc1379907442_WPSOffice_Level1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b04563e5-7531-4f82-a50e-baff45de4a25}"/>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第三章 总体思路</w:t>
              </w:r>
            </w:sdtContent>
          </w:sdt>
          <w:r>
            <w:rPr>
              <w:rFonts w:hint="eastAsia" w:ascii="仿宋_GB2312" w:hAnsi="仿宋_GB2312" w:eastAsia="仿宋_GB2312" w:cs="仿宋_GB2312"/>
              <w:b w:val="0"/>
              <w:bCs w:val="0"/>
              <w:sz w:val="32"/>
              <w:szCs w:val="32"/>
            </w:rPr>
            <w:tab/>
          </w:r>
          <w:bookmarkStart w:id="7" w:name="_Toc1379907442_WPSOffice_Level1Page"/>
          <w:r>
            <w:rPr>
              <w:rFonts w:hint="eastAsia" w:ascii="仿宋_GB2312" w:hAnsi="仿宋_GB2312" w:eastAsia="仿宋_GB2312" w:cs="仿宋_GB2312"/>
              <w:b w:val="0"/>
              <w:bCs w:val="0"/>
              <w:sz w:val="32"/>
              <w:szCs w:val="32"/>
            </w:rPr>
            <w:t>10</w:t>
          </w:r>
          <w:bookmarkEnd w:id="7"/>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_Toc712333312_WPSOffice_Level2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e97130a1-6836-4a89-bc9b-6434b770cb2c}"/>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第一节 指导思想</w:t>
              </w:r>
            </w:sdtContent>
          </w:sdt>
          <w:r>
            <w:rPr>
              <w:rFonts w:hint="eastAsia" w:ascii="仿宋_GB2312" w:hAnsi="仿宋_GB2312" w:eastAsia="仿宋_GB2312" w:cs="仿宋_GB2312"/>
              <w:b w:val="0"/>
              <w:bCs w:val="0"/>
              <w:sz w:val="32"/>
              <w:szCs w:val="32"/>
            </w:rPr>
            <w:tab/>
          </w:r>
          <w:bookmarkStart w:id="8" w:name="_Toc712333312_WPSOffice_Level2Page"/>
          <w:r>
            <w:rPr>
              <w:rFonts w:hint="eastAsia" w:ascii="仿宋_GB2312" w:hAnsi="仿宋_GB2312" w:eastAsia="仿宋_GB2312" w:cs="仿宋_GB2312"/>
              <w:b w:val="0"/>
              <w:bCs w:val="0"/>
              <w:sz w:val="32"/>
              <w:szCs w:val="32"/>
            </w:rPr>
            <w:t>10</w:t>
          </w:r>
          <w:bookmarkEnd w:id="8"/>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_Toc2144375267_WPSOffice_Level2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e63579e2-356a-4bf0-ba43-6e043228999a}"/>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第二节 基本原则</w:t>
              </w:r>
            </w:sdtContent>
          </w:sdt>
          <w:r>
            <w:rPr>
              <w:rFonts w:hint="eastAsia" w:ascii="仿宋_GB2312" w:hAnsi="仿宋_GB2312" w:eastAsia="仿宋_GB2312" w:cs="仿宋_GB2312"/>
              <w:b w:val="0"/>
              <w:bCs w:val="0"/>
              <w:sz w:val="32"/>
              <w:szCs w:val="32"/>
            </w:rPr>
            <w:tab/>
          </w:r>
          <w:bookmarkStart w:id="9" w:name="_Toc2144375267_WPSOffice_Level2Page"/>
          <w:r>
            <w:rPr>
              <w:rFonts w:hint="eastAsia" w:ascii="仿宋_GB2312" w:hAnsi="仿宋_GB2312" w:eastAsia="仿宋_GB2312" w:cs="仿宋_GB2312"/>
              <w:b w:val="0"/>
              <w:bCs w:val="0"/>
              <w:sz w:val="32"/>
              <w:szCs w:val="32"/>
            </w:rPr>
            <w:t>11</w:t>
          </w:r>
          <w:bookmarkEnd w:id="9"/>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_Toc1345327761_WPSOffice_Level2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9e52466a-9528-464f-9684-d622647c2c70}"/>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第三节 发展定位</w:t>
              </w:r>
            </w:sdtContent>
          </w:sdt>
          <w:r>
            <w:rPr>
              <w:rFonts w:hint="eastAsia" w:ascii="仿宋_GB2312" w:hAnsi="仿宋_GB2312" w:eastAsia="仿宋_GB2312" w:cs="仿宋_GB2312"/>
              <w:b w:val="0"/>
              <w:bCs w:val="0"/>
              <w:sz w:val="32"/>
              <w:szCs w:val="32"/>
            </w:rPr>
            <w:tab/>
          </w:r>
          <w:bookmarkStart w:id="10" w:name="_Toc1345327761_WPSOffice_Level2Page"/>
          <w:r>
            <w:rPr>
              <w:rFonts w:hint="eastAsia" w:ascii="仿宋_GB2312" w:hAnsi="仿宋_GB2312" w:eastAsia="仿宋_GB2312" w:cs="仿宋_GB2312"/>
              <w:b w:val="0"/>
              <w:bCs w:val="0"/>
              <w:sz w:val="32"/>
              <w:szCs w:val="32"/>
            </w:rPr>
            <w:t>12</w:t>
          </w:r>
          <w:bookmarkEnd w:id="10"/>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_Toc1240783053_WPSOffice_Level2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e8a50992-3926-4cd3-b3da-64dbb4bbd1a2}"/>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第四节 发展目标</w:t>
              </w:r>
            </w:sdtContent>
          </w:sdt>
          <w:r>
            <w:rPr>
              <w:rFonts w:hint="eastAsia" w:ascii="仿宋_GB2312" w:hAnsi="仿宋_GB2312" w:eastAsia="仿宋_GB2312" w:cs="仿宋_GB2312"/>
              <w:b w:val="0"/>
              <w:bCs w:val="0"/>
              <w:sz w:val="32"/>
              <w:szCs w:val="32"/>
            </w:rPr>
            <w:tab/>
          </w:r>
          <w:bookmarkStart w:id="11" w:name="_Toc1240783053_WPSOffice_Level2Page"/>
          <w:r>
            <w:rPr>
              <w:rFonts w:hint="eastAsia" w:ascii="仿宋_GB2312" w:hAnsi="仿宋_GB2312" w:eastAsia="仿宋_GB2312" w:cs="仿宋_GB2312"/>
              <w:b w:val="0"/>
              <w:bCs w:val="0"/>
              <w:sz w:val="32"/>
              <w:szCs w:val="32"/>
            </w:rPr>
            <w:t>13</w:t>
          </w:r>
          <w:bookmarkEnd w:id="11"/>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_Toc1657097064_WPSOffice_Level2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52414b6b-ba38-4d79-944e-2457a531004a}"/>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第五节 发展布局</w:t>
              </w:r>
            </w:sdtContent>
          </w:sdt>
          <w:r>
            <w:rPr>
              <w:rFonts w:hint="eastAsia" w:ascii="仿宋_GB2312" w:hAnsi="仿宋_GB2312" w:eastAsia="仿宋_GB2312" w:cs="仿宋_GB2312"/>
              <w:b w:val="0"/>
              <w:bCs w:val="0"/>
              <w:sz w:val="32"/>
              <w:szCs w:val="32"/>
            </w:rPr>
            <w:tab/>
          </w:r>
          <w:bookmarkStart w:id="12" w:name="_Toc1657097064_WPSOffice_Level2Page"/>
          <w:r>
            <w:rPr>
              <w:rFonts w:hint="eastAsia" w:ascii="仿宋_GB2312" w:hAnsi="仿宋_GB2312" w:eastAsia="仿宋_GB2312" w:cs="仿宋_GB2312"/>
              <w:b w:val="0"/>
              <w:bCs w:val="0"/>
              <w:sz w:val="32"/>
              <w:szCs w:val="32"/>
            </w:rPr>
            <w:t>13</w:t>
          </w:r>
          <w:bookmarkEnd w:id="12"/>
          <w:r>
            <w:rPr>
              <w:rFonts w:hint="eastAsia" w:ascii="仿宋_GB2312" w:hAnsi="仿宋_GB2312" w:eastAsia="仿宋_GB2312" w:cs="仿宋_GB2312"/>
              <w:b w:val="0"/>
              <w:bCs w:val="0"/>
              <w:sz w:val="32"/>
              <w:szCs w:val="32"/>
            </w:rPr>
            <w:fldChar w:fldCharType="end"/>
          </w:r>
        </w:p>
        <w:p>
          <w:pPr>
            <w:pStyle w:val="9"/>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_Toc537579084_WPSOffice_Level1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24a945f0-0035-47e2-b44c-ab0025856465}"/>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第四章 打造“元谋人”生命起源科学探寻胜地</w:t>
              </w:r>
            </w:sdtContent>
          </w:sdt>
          <w:r>
            <w:rPr>
              <w:rFonts w:hint="eastAsia" w:ascii="仿宋_GB2312" w:hAnsi="仿宋_GB2312" w:eastAsia="仿宋_GB2312" w:cs="仿宋_GB2312"/>
              <w:b w:val="0"/>
              <w:bCs w:val="0"/>
              <w:sz w:val="32"/>
              <w:szCs w:val="32"/>
            </w:rPr>
            <w:tab/>
          </w:r>
          <w:bookmarkStart w:id="13" w:name="_Toc537579084_WPSOffice_Level1Page"/>
          <w:r>
            <w:rPr>
              <w:rFonts w:hint="eastAsia" w:ascii="仿宋_GB2312" w:hAnsi="仿宋_GB2312" w:eastAsia="仿宋_GB2312" w:cs="仿宋_GB2312"/>
              <w:b w:val="0"/>
              <w:bCs w:val="0"/>
              <w:sz w:val="32"/>
              <w:szCs w:val="32"/>
            </w:rPr>
            <w:t>15</w:t>
          </w:r>
          <w:bookmarkEnd w:id="13"/>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_Toc477338488_WPSOffice_Level2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4fe3d260-d692-4a10-8efd-3db1c5da8ad4}"/>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第一节 挖掘弘扬元谋“远古”文化</w:t>
              </w:r>
            </w:sdtContent>
          </w:sdt>
          <w:r>
            <w:rPr>
              <w:rFonts w:hint="eastAsia" w:ascii="仿宋_GB2312" w:hAnsi="仿宋_GB2312" w:eastAsia="仿宋_GB2312" w:cs="仿宋_GB2312"/>
              <w:b w:val="0"/>
              <w:bCs w:val="0"/>
              <w:sz w:val="32"/>
              <w:szCs w:val="32"/>
            </w:rPr>
            <w:tab/>
          </w:r>
          <w:bookmarkStart w:id="14" w:name="_Toc477338488_WPSOffice_Level2Page"/>
          <w:r>
            <w:rPr>
              <w:rFonts w:hint="eastAsia" w:ascii="仿宋_GB2312" w:hAnsi="仿宋_GB2312" w:eastAsia="仿宋_GB2312" w:cs="仿宋_GB2312"/>
              <w:b w:val="0"/>
              <w:bCs w:val="0"/>
              <w:sz w:val="32"/>
              <w:szCs w:val="32"/>
            </w:rPr>
            <w:t>15</w:t>
          </w:r>
          <w:bookmarkEnd w:id="14"/>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_Toc778277978_WPSOffice_Level2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bb49d11c-2664-448f-9668-0c97f461d791}"/>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第二节 推进元谋“远古”文化实物化</w:t>
              </w:r>
            </w:sdtContent>
          </w:sdt>
          <w:r>
            <w:rPr>
              <w:rFonts w:hint="eastAsia" w:ascii="仿宋_GB2312" w:hAnsi="仿宋_GB2312" w:eastAsia="仿宋_GB2312" w:cs="仿宋_GB2312"/>
              <w:b w:val="0"/>
              <w:bCs w:val="0"/>
              <w:sz w:val="32"/>
              <w:szCs w:val="32"/>
            </w:rPr>
            <w:tab/>
          </w:r>
          <w:bookmarkStart w:id="15" w:name="_Toc778277978_WPSOffice_Level2Page"/>
          <w:r>
            <w:rPr>
              <w:rFonts w:hint="eastAsia" w:ascii="仿宋_GB2312" w:hAnsi="仿宋_GB2312" w:eastAsia="仿宋_GB2312" w:cs="仿宋_GB2312"/>
              <w:b w:val="0"/>
              <w:bCs w:val="0"/>
              <w:sz w:val="32"/>
              <w:szCs w:val="32"/>
            </w:rPr>
            <w:t>18</w:t>
          </w:r>
          <w:bookmarkEnd w:id="15"/>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_Toc764175948_WPSOffice_Level2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94f410f0-97c8-46dd-b9d2-bd1ca98461b8}"/>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第三节 加强文化遗产保护和开发</w:t>
              </w:r>
            </w:sdtContent>
          </w:sdt>
          <w:r>
            <w:rPr>
              <w:rFonts w:hint="eastAsia" w:ascii="仿宋_GB2312" w:hAnsi="仿宋_GB2312" w:eastAsia="仿宋_GB2312" w:cs="仿宋_GB2312"/>
              <w:b w:val="0"/>
              <w:bCs w:val="0"/>
              <w:sz w:val="32"/>
              <w:szCs w:val="32"/>
            </w:rPr>
            <w:tab/>
          </w:r>
          <w:bookmarkStart w:id="16" w:name="_Toc764175948_WPSOffice_Level2Page"/>
          <w:r>
            <w:rPr>
              <w:rFonts w:hint="eastAsia" w:ascii="仿宋_GB2312" w:hAnsi="仿宋_GB2312" w:eastAsia="仿宋_GB2312" w:cs="仿宋_GB2312"/>
              <w:b w:val="0"/>
              <w:bCs w:val="0"/>
              <w:sz w:val="32"/>
              <w:szCs w:val="32"/>
            </w:rPr>
            <w:t>19</w:t>
          </w:r>
          <w:bookmarkEnd w:id="16"/>
          <w:r>
            <w:rPr>
              <w:rFonts w:hint="eastAsia" w:ascii="仿宋_GB2312" w:hAnsi="仿宋_GB2312" w:eastAsia="仿宋_GB2312" w:cs="仿宋_GB2312"/>
              <w:b w:val="0"/>
              <w:bCs w:val="0"/>
              <w:sz w:val="32"/>
              <w:szCs w:val="32"/>
            </w:rPr>
            <w:fldChar w:fldCharType="end"/>
          </w:r>
        </w:p>
        <w:p>
          <w:pPr>
            <w:pStyle w:val="9"/>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_Toc1418006615_WPSOffice_Level1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d6d931c2-089d-4659-a602-6348618dfc60}"/>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第五章 打造全国知名康养休闲胜地</w:t>
              </w:r>
            </w:sdtContent>
          </w:sdt>
          <w:r>
            <w:rPr>
              <w:rFonts w:hint="eastAsia" w:ascii="仿宋_GB2312" w:hAnsi="仿宋_GB2312" w:eastAsia="仿宋_GB2312" w:cs="仿宋_GB2312"/>
              <w:b w:val="0"/>
              <w:bCs w:val="0"/>
              <w:sz w:val="32"/>
              <w:szCs w:val="32"/>
            </w:rPr>
            <w:tab/>
          </w:r>
          <w:bookmarkStart w:id="17" w:name="_Toc1418006615_WPSOffice_Level1Page"/>
          <w:r>
            <w:rPr>
              <w:rFonts w:hint="eastAsia" w:ascii="仿宋_GB2312" w:hAnsi="仿宋_GB2312" w:eastAsia="仿宋_GB2312" w:cs="仿宋_GB2312"/>
              <w:b w:val="0"/>
              <w:bCs w:val="0"/>
              <w:sz w:val="32"/>
              <w:szCs w:val="32"/>
            </w:rPr>
            <w:t>20</w:t>
          </w:r>
          <w:bookmarkEnd w:id="17"/>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_Toc104287530_WPSOffice_Level2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b8bab6e1-4390-4a2f-a3e1-46c394b9135b}"/>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第一节 加快发展文化旅游产业</w:t>
              </w:r>
            </w:sdtContent>
          </w:sdt>
          <w:r>
            <w:rPr>
              <w:rFonts w:hint="eastAsia" w:ascii="仿宋_GB2312" w:hAnsi="仿宋_GB2312" w:eastAsia="仿宋_GB2312" w:cs="仿宋_GB2312"/>
              <w:b w:val="0"/>
              <w:bCs w:val="0"/>
              <w:sz w:val="32"/>
              <w:szCs w:val="32"/>
            </w:rPr>
            <w:tab/>
          </w:r>
          <w:bookmarkStart w:id="18" w:name="_Toc104287530_WPSOffice_Level2Page"/>
          <w:r>
            <w:rPr>
              <w:rFonts w:hint="eastAsia" w:ascii="仿宋_GB2312" w:hAnsi="仿宋_GB2312" w:eastAsia="仿宋_GB2312" w:cs="仿宋_GB2312"/>
              <w:b w:val="0"/>
              <w:bCs w:val="0"/>
              <w:sz w:val="32"/>
              <w:szCs w:val="32"/>
            </w:rPr>
            <w:t>20</w:t>
          </w:r>
          <w:bookmarkEnd w:id="18"/>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_Toc1775275953_WPSOffice_Level2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a4b38b99-851d-4581-b210-836a4a67b52a}"/>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第二节 夯实旅游业高质量发展新基础</w:t>
              </w:r>
            </w:sdtContent>
          </w:sdt>
          <w:r>
            <w:rPr>
              <w:rFonts w:hint="eastAsia" w:ascii="仿宋_GB2312" w:hAnsi="仿宋_GB2312" w:eastAsia="仿宋_GB2312" w:cs="仿宋_GB2312"/>
              <w:b w:val="0"/>
              <w:bCs w:val="0"/>
              <w:sz w:val="32"/>
              <w:szCs w:val="32"/>
            </w:rPr>
            <w:tab/>
          </w:r>
          <w:bookmarkStart w:id="19" w:name="_Toc1775275953_WPSOffice_Level2Page"/>
          <w:r>
            <w:rPr>
              <w:rFonts w:hint="eastAsia" w:ascii="仿宋_GB2312" w:hAnsi="仿宋_GB2312" w:eastAsia="仿宋_GB2312" w:cs="仿宋_GB2312"/>
              <w:b w:val="0"/>
              <w:bCs w:val="0"/>
              <w:sz w:val="32"/>
              <w:szCs w:val="32"/>
            </w:rPr>
            <w:t>23</w:t>
          </w:r>
          <w:bookmarkEnd w:id="19"/>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_Toc165971942_WPSOffice_Level2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04e52819-355a-432e-95cf-fbde97553aae}"/>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第三节 加快发展绿色康养产业</w:t>
              </w:r>
            </w:sdtContent>
          </w:sdt>
          <w:r>
            <w:rPr>
              <w:rFonts w:hint="eastAsia" w:ascii="仿宋_GB2312" w:hAnsi="仿宋_GB2312" w:eastAsia="仿宋_GB2312" w:cs="仿宋_GB2312"/>
              <w:b w:val="0"/>
              <w:bCs w:val="0"/>
              <w:sz w:val="32"/>
              <w:szCs w:val="32"/>
            </w:rPr>
            <w:tab/>
          </w:r>
          <w:bookmarkStart w:id="20" w:name="_Toc165971942_WPSOffice_Level2Page"/>
          <w:r>
            <w:rPr>
              <w:rFonts w:hint="eastAsia" w:ascii="仿宋_GB2312" w:hAnsi="仿宋_GB2312" w:eastAsia="仿宋_GB2312" w:cs="仿宋_GB2312"/>
              <w:b w:val="0"/>
              <w:bCs w:val="0"/>
              <w:sz w:val="32"/>
              <w:szCs w:val="32"/>
            </w:rPr>
            <w:t>32</w:t>
          </w:r>
          <w:bookmarkEnd w:id="20"/>
          <w:r>
            <w:rPr>
              <w:rFonts w:hint="eastAsia" w:ascii="仿宋_GB2312" w:hAnsi="仿宋_GB2312" w:eastAsia="仿宋_GB2312" w:cs="仿宋_GB2312"/>
              <w:b w:val="0"/>
              <w:bCs w:val="0"/>
              <w:sz w:val="32"/>
              <w:szCs w:val="32"/>
            </w:rPr>
            <w:fldChar w:fldCharType="end"/>
          </w:r>
        </w:p>
        <w:p>
          <w:pPr>
            <w:pStyle w:val="9"/>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_Toc712333312_WPSOffice_Level1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b746f76b-e84e-4f8f-b18c-5ec8058bc414}"/>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第六章 培育精品  丰富文化产品服务</w:t>
              </w:r>
            </w:sdtContent>
          </w:sdt>
          <w:r>
            <w:rPr>
              <w:rFonts w:hint="eastAsia" w:ascii="仿宋_GB2312" w:hAnsi="仿宋_GB2312" w:eastAsia="仿宋_GB2312" w:cs="仿宋_GB2312"/>
              <w:b w:val="0"/>
              <w:bCs w:val="0"/>
              <w:sz w:val="32"/>
              <w:szCs w:val="32"/>
            </w:rPr>
            <w:tab/>
          </w:r>
          <w:bookmarkStart w:id="21" w:name="_Toc712333312_WPSOffice_Level1Page"/>
          <w:r>
            <w:rPr>
              <w:rFonts w:hint="eastAsia" w:ascii="仿宋_GB2312" w:hAnsi="仿宋_GB2312" w:eastAsia="仿宋_GB2312" w:cs="仿宋_GB2312"/>
              <w:b w:val="0"/>
              <w:bCs w:val="0"/>
              <w:sz w:val="32"/>
              <w:szCs w:val="32"/>
            </w:rPr>
            <w:t>35</w:t>
          </w:r>
          <w:bookmarkEnd w:id="21"/>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_Toc1808215313_WPSOffice_Level2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8728f298-3645-4451-b9fb-e71b5c321904}"/>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第一节 讲好“元谋故事”创作文化艺术精品</w:t>
              </w:r>
            </w:sdtContent>
          </w:sdt>
          <w:r>
            <w:rPr>
              <w:rFonts w:hint="eastAsia" w:ascii="仿宋_GB2312" w:hAnsi="仿宋_GB2312" w:eastAsia="仿宋_GB2312" w:cs="仿宋_GB2312"/>
              <w:b w:val="0"/>
              <w:bCs w:val="0"/>
              <w:sz w:val="32"/>
              <w:szCs w:val="32"/>
            </w:rPr>
            <w:tab/>
          </w:r>
          <w:bookmarkStart w:id="22" w:name="_Toc1808215313_WPSOffice_Level2Page"/>
          <w:r>
            <w:rPr>
              <w:rFonts w:hint="eastAsia" w:ascii="仿宋_GB2312" w:hAnsi="仿宋_GB2312" w:eastAsia="仿宋_GB2312" w:cs="仿宋_GB2312"/>
              <w:b w:val="0"/>
              <w:bCs w:val="0"/>
              <w:sz w:val="32"/>
              <w:szCs w:val="32"/>
            </w:rPr>
            <w:t>35</w:t>
          </w:r>
          <w:bookmarkEnd w:id="22"/>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_Toc565093001_WPSOffice_Level2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967d57ea-df62-4d06-9d03-36f677b2dbf9}"/>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第二节 融入国家落工程，打造红色文化精品</w:t>
              </w:r>
            </w:sdtContent>
          </w:sdt>
          <w:r>
            <w:rPr>
              <w:rFonts w:hint="eastAsia" w:ascii="仿宋_GB2312" w:hAnsi="仿宋_GB2312" w:eastAsia="仿宋_GB2312" w:cs="仿宋_GB2312"/>
              <w:b w:val="0"/>
              <w:bCs w:val="0"/>
              <w:sz w:val="32"/>
              <w:szCs w:val="32"/>
            </w:rPr>
            <w:tab/>
          </w:r>
          <w:bookmarkStart w:id="23" w:name="_Toc565093001_WPSOffice_Level2Page"/>
          <w:r>
            <w:rPr>
              <w:rFonts w:hint="eastAsia" w:ascii="仿宋_GB2312" w:hAnsi="仿宋_GB2312" w:eastAsia="仿宋_GB2312" w:cs="仿宋_GB2312"/>
              <w:b w:val="0"/>
              <w:bCs w:val="0"/>
              <w:sz w:val="32"/>
              <w:szCs w:val="32"/>
            </w:rPr>
            <w:t>36</w:t>
          </w:r>
          <w:bookmarkEnd w:id="23"/>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_Toc523124815_WPSOffice_Level2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29bb0bcc-b322-4de1-aaf2-0acf948c83ab}"/>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第三节 加强文物保护利用，培育文博精品</w:t>
              </w:r>
            </w:sdtContent>
          </w:sdt>
          <w:r>
            <w:rPr>
              <w:rFonts w:hint="eastAsia" w:ascii="仿宋_GB2312" w:hAnsi="仿宋_GB2312" w:eastAsia="仿宋_GB2312" w:cs="仿宋_GB2312"/>
              <w:b w:val="0"/>
              <w:bCs w:val="0"/>
              <w:sz w:val="32"/>
              <w:szCs w:val="32"/>
            </w:rPr>
            <w:tab/>
          </w:r>
          <w:bookmarkStart w:id="24" w:name="_Toc523124815_WPSOffice_Level2Page"/>
          <w:r>
            <w:rPr>
              <w:rFonts w:hint="eastAsia" w:ascii="仿宋_GB2312" w:hAnsi="仿宋_GB2312" w:eastAsia="仿宋_GB2312" w:cs="仿宋_GB2312"/>
              <w:b w:val="0"/>
              <w:bCs w:val="0"/>
              <w:sz w:val="32"/>
              <w:szCs w:val="32"/>
            </w:rPr>
            <w:t>37</w:t>
          </w:r>
          <w:bookmarkEnd w:id="24"/>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_Toc1289147516_WPSOffice_Level2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8e57f21e-2203-4a2d-a9e3-4efa2b46a5d7}"/>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第四节 推动非遗保护传承，培育非遗文化精品</w:t>
              </w:r>
            </w:sdtContent>
          </w:sdt>
          <w:r>
            <w:rPr>
              <w:rFonts w:hint="eastAsia" w:ascii="仿宋_GB2312" w:hAnsi="仿宋_GB2312" w:eastAsia="仿宋_GB2312" w:cs="仿宋_GB2312"/>
              <w:b w:val="0"/>
              <w:bCs w:val="0"/>
              <w:sz w:val="32"/>
              <w:szCs w:val="32"/>
            </w:rPr>
            <w:tab/>
          </w:r>
          <w:bookmarkStart w:id="25" w:name="_Toc1289147516_WPSOffice_Level2Page"/>
          <w:r>
            <w:rPr>
              <w:rFonts w:hint="eastAsia" w:ascii="仿宋_GB2312" w:hAnsi="仿宋_GB2312" w:eastAsia="仿宋_GB2312" w:cs="仿宋_GB2312"/>
              <w:b w:val="0"/>
              <w:bCs w:val="0"/>
              <w:sz w:val="32"/>
              <w:szCs w:val="32"/>
            </w:rPr>
            <w:t>38</w:t>
          </w:r>
          <w:bookmarkEnd w:id="25"/>
          <w:r>
            <w:rPr>
              <w:rFonts w:hint="eastAsia" w:ascii="仿宋_GB2312" w:hAnsi="仿宋_GB2312" w:eastAsia="仿宋_GB2312" w:cs="仿宋_GB2312"/>
              <w:b w:val="0"/>
              <w:bCs w:val="0"/>
              <w:sz w:val="32"/>
              <w:szCs w:val="32"/>
            </w:rPr>
            <w:fldChar w:fldCharType="end"/>
          </w:r>
        </w:p>
        <w:p>
          <w:pPr>
            <w:pStyle w:val="9"/>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_Toc2144375267_WPSOffice_Level1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10bc7415-7e5c-4948-b01b-a2ebc026ddf0}"/>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第七章 增效赋能，强化数字化科技新驱动</w:t>
              </w:r>
            </w:sdtContent>
          </w:sdt>
          <w:r>
            <w:rPr>
              <w:rFonts w:hint="eastAsia" w:ascii="仿宋_GB2312" w:hAnsi="仿宋_GB2312" w:eastAsia="仿宋_GB2312" w:cs="仿宋_GB2312"/>
              <w:b w:val="0"/>
              <w:bCs w:val="0"/>
              <w:sz w:val="32"/>
              <w:szCs w:val="32"/>
            </w:rPr>
            <w:tab/>
          </w:r>
          <w:bookmarkStart w:id="26" w:name="_Toc2144375267_WPSOffice_Level1Page"/>
          <w:r>
            <w:rPr>
              <w:rFonts w:hint="eastAsia" w:ascii="仿宋_GB2312" w:hAnsi="仿宋_GB2312" w:eastAsia="仿宋_GB2312" w:cs="仿宋_GB2312"/>
              <w:b w:val="0"/>
              <w:bCs w:val="0"/>
              <w:sz w:val="32"/>
              <w:szCs w:val="32"/>
            </w:rPr>
            <w:t>40</w:t>
          </w:r>
          <w:bookmarkEnd w:id="26"/>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_Toc1541417605_WPSOffice_Level2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b4551b0d-5a82-4324-8882-fb5c8dd98d3a}"/>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第一节 加强文旅数字化平台基础建设</w:t>
              </w:r>
            </w:sdtContent>
          </w:sdt>
          <w:r>
            <w:rPr>
              <w:rFonts w:hint="eastAsia" w:ascii="仿宋_GB2312" w:hAnsi="仿宋_GB2312" w:eastAsia="仿宋_GB2312" w:cs="仿宋_GB2312"/>
              <w:b w:val="0"/>
              <w:bCs w:val="0"/>
              <w:sz w:val="32"/>
              <w:szCs w:val="32"/>
            </w:rPr>
            <w:tab/>
          </w:r>
          <w:bookmarkStart w:id="27" w:name="_Toc1541417605_WPSOffice_Level2Page"/>
          <w:r>
            <w:rPr>
              <w:rFonts w:hint="eastAsia" w:ascii="仿宋_GB2312" w:hAnsi="仿宋_GB2312" w:eastAsia="仿宋_GB2312" w:cs="仿宋_GB2312"/>
              <w:b w:val="0"/>
              <w:bCs w:val="0"/>
              <w:sz w:val="32"/>
              <w:szCs w:val="32"/>
            </w:rPr>
            <w:t>40</w:t>
          </w:r>
          <w:bookmarkEnd w:id="27"/>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_Toc313654822_WPSOffice_Level2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75b55b72-dbff-45c1-aeb7-8f5c628648a1}"/>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第二节 完善文旅数字化智慧化服务系统</w:t>
              </w:r>
            </w:sdtContent>
          </w:sdt>
          <w:r>
            <w:rPr>
              <w:rFonts w:hint="eastAsia" w:ascii="仿宋_GB2312" w:hAnsi="仿宋_GB2312" w:eastAsia="仿宋_GB2312" w:cs="仿宋_GB2312"/>
              <w:b w:val="0"/>
              <w:bCs w:val="0"/>
              <w:sz w:val="32"/>
              <w:szCs w:val="32"/>
            </w:rPr>
            <w:tab/>
          </w:r>
          <w:bookmarkStart w:id="28" w:name="_Toc313654822_WPSOffice_Level2Page"/>
          <w:r>
            <w:rPr>
              <w:rFonts w:hint="eastAsia" w:ascii="仿宋_GB2312" w:hAnsi="仿宋_GB2312" w:eastAsia="仿宋_GB2312" w:cs="仿宋_GB2312"/>
              <w:b w:val="0"/>
              <w:bCs w:val="0"/>
              <w:sz w:val="32"/>
              <w:szCs w:val="32"/>
            </w:rPr>
            <w:t>41</w:t>
          </w:r>
          <w:bookmarkEnd w:id="28"/>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_Toc344099094_WPSOffice_Level2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6e4d7709-4624-49ae-8607-2533a4e0196b}"/>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第三节 提升文旅智慧化互动服务功能</w:t>
              </w:r>
            </w:sdtContent>
          </w:sdt>
          <w:r>
            <w:rPr>
              <w:rFonts w:hint="eastAsia" w:ascii="仿宋_GB2312" w:hAnsi="仿宋_GB2312" w:eastAsia="仿宋_GB2312" w:cs="仿宋_GB2312"/>
              <w:b w:val="0"/>
              <w:bCs w:val="0"/>
              <w:sz w:val="32"/>
              <w:szCs w:val="32"/>
            </w:rPr>
            <w:tab/>
          </w:r>
          <w:bookmarkStart w:id="29" w:name="_Toc344099094_WPSOffice_Level2Page"/>
          <w:r>
            <w:rPr>
              <w:rFonts w:hint="eastAsia" w:ascii="仿宋_GB2312" w:hAnsi="仿宋_GB2312" w:eastAsia="仿宋_GB2312" w:cs="仿宋_GB2312"/>
              <w:b w:val="0"/>
              <w:bCs w:val="0"/>
              <w:sz w:val="32"/>
              <w:szCs w:val="32"/>
            </w:rPr>
            <w:t>43</w:t>
          </w:r>
          <w:bookmarkEnd w:id="29"/>
          <w:r>
            <w:rPr>
              <w:rFonts w:hint="eastAsia" w:ascii="仿宋_GB2312" w:hAnsi="仿宋_GB2312" w:eastAsia="仿宋_GB2312" w:cs="仿宋_GB2312"/>
              <w:b w:val="0"/>
              <w:bCs w:val="0"/>
              <w:sz w:val="32"/>
              <w:szCs w:val="32"/>
            </w:rPr>
            <w:fldChar w:fldCharType="end"/>
          </w:r>
        </w:p>
        <w:p>
          <w:pPr>
            <w:pStyle w:val="9"/>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_Toc1345327761_WPSOffice_Level1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9e5a9f24-9a19-4ece-a57c-7609756eefbf}"/>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第八章 补短板 夯实基础</w:t>
              </w:r>
            </w:sdtContent>
          </w:sdt>
          <w:r>
            <w:rPr>
              <w:rFonts w:hint="eastAsia" w:ascii="仿宋_GB2312" w:hAnsi="仿宋_GB2312" w:eastAsia="仿宋_GB2312" w:cs="仿宋_GB2312"/>
              <w:b w:val="0"/>
              <w:bCs w:val="0"/>
              <w:sz w:val="32"/>
              <w:szCs w:val="32"/>
            </w:rPr>
            <w:tab/>
          </w:r>
          <w:bookmarkStart w:id="30" w:name="_Toc1345327761_WPSOffice_Level1Page"/>
          <w:r>
            <w:rPr>
              <w:rFonts w:hint="eastAsia" w:ascii="仿宋_GB2312" w:hAnsi="仿宋_GB2312" w:eastAsia="仿宋_GB2312" w:cs="仿宋_GB2312"/>
              <w:b w:val="0"/>
              <w:bCs w:val="0"/>
              <w:sz w:val="32"/>
              <w:szCs w:val="32"/>
            </w:rPr>
            <w:t>44</w:t>
          </w:r>
          <w:bookmarkEnd w:id="30"/>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_Toc95947961_WPSOffice_Level2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ed3ea03f-2e4e-46f8-8638-14d72c88eb1f}"/>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第一节 抓好旅游交通基础设施建设</w:t>
              </w:r>
            </w:sdtContent>
          </w:sdt>
          <w:r>
            <w:rPr>
              <w:rFonts w:hint="eastAsia" w:ascii="仿宋_GB2312" w:hAnsi="仿宋_GB2312" w:eastAsia="仿宋_GB2312" w:cs="仿宋_GB2312"/>
              <w:b w:val="0"/>
              <w:bCs w:val="0"/>
              <w:sz w:val="32"/>
              <w:szCs w:val="32"/>
            </w:rPr>
            <w:tab/>
          </w:r>
          <w:bookmarkStart w:id="31" w:name="_Toc95947961_WPSOffice_Level2Page"/>
          <w:r>
            <w:rPr>
              <w:rFonts w:hint="eastAsia" w:ascii="仿宋_GB2312" w:hAnsi="仿宋_GB2312" w:eastAsia="仿宋_GB2312" w:cs="仿宋_GB2312"/>
              <w:b w:val="0"/>
              <w:bCs w:val="0"/>
              <w:sz w:val="32"/>
              <w:szCs w:val="32"/>
            </w:rPr>
            <w:t>44</w:t>
          </w:r>
          <w:bookmarkEnd w:id="31"/>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_Toc494917724_WPSOffice_Level2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e0355aa1-0041-45b5-ad0d-24684391a97b}"/>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第二节 增强旅游公共服务供给能力</w:t>
              </w:r>
            </w:sdtContent>
          </w:sdt>
          <w:r>
            <w:rPr>
              <w:rFonts w:hint="eastAsia" w:ascii="仿宋_GB2312" w:hAnsi="仿宋_GB2312" w:eastAsia="仿宋_GB2312" w:cs="仿宋_GB2312"/>
              <w:b w:val="0"/>
              <w:bCs w:val="0"/>
              <w:sz w:val="32"/>
              <w:szCs w:val="32"/>
            </w:rPr>
            <w:tab/>
          </w:r>
          <w:bookmarkStart w:id="32" w:name="_Toc494917724_WPSOffice_Level2Page"/>
          <w:r>
            <w:rPr>
              <w:rFonts w:hint="eastAsia" w:ascii="仿宋_GB2312" w:hAnsi="仿宋_GB2312" w:eastAsia="仿宋_GB2312" w:cs="仿宋_GB2312"/>
              <w:b w:val="0"/>
              <w:bCs w:val="0"/>
              <w:sz w:val="32"/>
              <w:szCs w:val="32"/>
            </w:rPr>
            <w:t>45</w:t>
          </w:r>
          <w:bookmarkEnd w:id="32"/>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_Toc1473077201_WPSOffice_Level2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e7e11ff9-0314-41c9-8640-c56d1afc9813}"/>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第三节  推动文旅公共服务设施融合</w:t>
              </w:r>
            </w:sdtContent>
          </w:sdt>
          <w:r>
            <w:rPr>
              <w:rFonts w:hint="eastAsia" w:ascii="仿宋_GB2312" w:hAnsi="仿宋_GB2312" w:eastAsia="仿宋_GB2312" w:cs="仿宋_GB2312"/>
              <w:b w:val="0"/>
              <w:bCs w:val="0"/>
              <w:sz w:val="32"/>
              <w:szCs w:val="32"/>
            </w:rPr>
            <w:tab/>
          </w:r>
          <w:bookmarkStart w:id="33" w:name="_Toc1473077201_WPSOffice_Level2Page"/>
          <w:r>
            <w:rPr>
              <w:rFonts w:hint="eastAsia" w:ascii="仿宋_GB2312" w:hAnsi="仿宋_GB2312" w:eastAsia="仿宋_GB2312" w:cs="仿宋_GB2312"/>
              <w:b w:val="0"/>
              <w:bCs w:val="0"/>
              <w:sz w:val="32"/>
              <w:szCs w:val="32"/>
            </w:rPr>
            <w:t>47</w:t>
          </w:r>
          <w:bookmarkEnd w:id="33"/>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_Toc1070226146_WPSOffice_Level2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409c57cf-93bf-4546-8b07-ebccb99440e7}"/>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第四节 完善现代公共文化服务体系</w:t>
              </w:r>
            </w:sdtContent>
          </w:sdt>
          <w:r>
            <w:rPr>
              <w:rFonts w:hint="eastAsia" w:ascii="仿宋_GB2312" w:hAnsi="仿宋_GB2312" w:eastAsia="仿宋_GB2312" w:cs="仿宋_GB2312"/>
              <w:b w:val="0"/>
              <w:bCs w:val="0"/>
              <w:sz w:val="32"/>
              <w:szCs w:val="32"/>
            </w:rPr>
            <w:tab/>
          </w:r>
          <w:bookmarkStart w:id="34" w:name="_Toc1070226146_WPSOffice_Level2Page"/>
          <w:r>
            <w:rPr>
              <w:rFonts w:hint="eastAsia" w:ascii="仿宋_GB2312" w:hAnsi="仿宋_GB2312" w:eastAsia="仿宋_GB2312" w:cs="仿宋_GB2312"/>
              <w:b w:val="0"/>
              <w:bCs w:val="0"/>
              <w:sz w:val="32"/>
              <w:szCs w:val="32"/>
            </w:rPr>
            <w:t>47</w:t>
          </w:r>
          <w:bookmarkEnd w:id="34"/>
          <w:r>
            <w:rPr>
              <w:rFonts w:hint="eastAsia" w:ascii="仿宋_GB2312" w:hAnsi="仿宋_GB2312" w:eastAsia="仿宋_GB2312" w:cs="仿宋_GB2312"/>
              <w:b w:val="0"/>
              <w:bCs w:val="0"/>
              <w:sz w:val="32"/>
              <w:szCs w:val="32"/>
            </w:rPr>
            <w:fldChar w:fldCharType="end"/>
          </w:r>
        </w:p>
        <w:p>
          <w:pPr>
            <w:pStyle w:val="9"/>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_Toc1240783053_WPSOffice_Level1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f860d0bb-5b44-402e-8ac0-c5025f270e48}"/>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第九章 提升质量，营造消费服务环境新优势</w:t>
              </w:r>
            </w:sdtContent>
          </w:sdt>
          <w:r>
            <w:rPr>
              <w:rFonts w:hint="eastAsia" w:ascii="仿宋_GB2312" w:hAnsi="仿宋_GB2312" w:eastAsia="仿宋_GB2312" w:cs="仿宋_GB2312"/>
              <w:b w:val="0"/>
              <w:bCs w:val="0"/>
              <w:sz w:val="32"/>
              <w:szCs w:val="32"/>
            </w:rPr>
            <w:tab/>
          </w:r>
          <w:bookmarkStart w:id="35" w:name="_Toc1240783053_WPSOffice_Level1Page"/>
          <w:r>
            <w:rPr>
              <w:rFonts w:hint="eastAsia" w:ascii="仿宋_GB2312" w:hAnsi="仿宋_GB2312" w:eastAsia="仿宋_GB2312" w:cs="仿宋_GB2312"/>
              <w:b w:val="0"/>
              <w:bCs w:val="0"/>
              <w:sz w:val="32"/>
              <w:szCs w:val="32"/>
            </w:rPr>
            <w:t>51</w:t>
          </w:r>
          <w:bookmarkEnd w:id="35"/>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_Toc1597387779_WPSOffice_Level2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37b04ace-41f2-4595-bde1-b206715876d1}"/>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第一节 营造安全舒适的消费环境</w:t>
              </w:r>
            </w:sdtContent>
          </w:sdt>
          <w:r>
            <w:rPr>
              <w:rFonts w:hint="eastAsia" w:ascii="仿宋_GB2312" w:hAnsi="仿宋_GB2312" w:eastAsia="仿宋_GB2312" w:cs="仿宋_GB2312"/>
              <w:b w:val="0"/>
              <w:bCs w:val="0"/>
              <w:sz w:val="32"/>
              <w:szCs w:val="32"/>
            </w:rPr>
            <w:tab/>
          </w:r>
          <w:bookmarkStart w:id="36" w:name="_Toc1597387779_WPSOffice_Level2Page"/>
          <w:r>
            <w:rPr>
              <w:rFonts w:hint="eastAsia" w:ascii="仿宋_GB2312" w:hAnsi="仿宋_GB2312" w:eastAsia="仿宋_GB2312" w:cs="仿宋_GB2312"/>
              <w:b w:val="0"/>
              <w:bCs w:val="0"/>
              <w:sz w:val="32"/>
              <w:szCs w:val="32"/>
            </w:rPr>
            <w:t>51</w:t>
          </w:r>
          <w:bookmarkEnd w:id="36"/>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_Toc1036103757_WPSOffice_Level2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abc770f7-3a35-4ce7-993c-13da1a3c94ac}"/>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第二节 完善优质高效的营商环境</w:t>
              </w:r>
            </w:sdtContent>
          </w:sdt>
          <w:r>
            <w:rPr>
              <w:rFonts w:hint="eastAsia" w:ascii="仿宋_GB2312" w:hAnsi="仿宋_GB2312" w:eastAsia="仿宋_GB2312" w:cs="仿宋_GB2312"/>
              <w:b w:val="0"/>
              <w:bCs w:val="0"/>
              <w:sz w:val="32"/>
              <w:szCs w:val="32"/>
            </w:rPr>
            <w:tab/>
          </w:r>
          <w:bookmarkStart w:id="37" w:name="_Toc1036103757_WPSOffice_Level2Page"/>
          <w:r>
            <w:rPr>
              <w:rFonts w:hint="eastAsia" w:ascii="仿宋_GB2312" w:hAnsi="仿宋_GB2312" w:eastAsia="仿宋_GB2312" w:cs="仿宋_GB2312"/>
              <w:b w:val="0"/>
              <w:bCs w:val="0"/>
              <w:sz w:val="32"/>
              <w:szCs w:val="32"/>
            </w:rPr>
            <w:t>54</w:t>
          </w:r>
          <w:bookmarkEnd w:id="37"/>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_Toc491501245_WPSOffice_Level2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71b4e49e-310f-414f-8efe-cc426716b4f1}"/>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第三节 构建文明和谐的旅游环境</w:t>
              </w:r>
            </w:sdtContent>
          </w:sdt>
          <w:r>
            <w:rPr>
              <w:rFonts w:hint="eastAsia" w:ascii="仿宋_GB2312" w:hAnsi="仿宋_GB2312" w:eastAsia="仿宋_GB2312" w:cs="仿宋_GB2312"/>
              <w:b w:val="0"/>
              <w:bCs w:val="0"/>
              <w:sz w:val="32"/>
              <w:szCs w:val="32"/>
            </w:rPr>
            <w:tab/>
          </w:r>
          <w:bookmarkStart w:id="38" w:name="_Toc491501245_WPSOffice_Level2Page"/>
          <w:r>
            <w:rPr>
              <w:rFonts w:hint="eastAsia" w:ascii="仿宋_GB2312" w:hAnsi="仿宋_GB2312" w:eastAsia="仿宋_GB2312" w:cs="仿宋_GB2312"/>
              <w:b w:val="0"/>
              <w:bCs w:val="0"/>
              <w:sz w:val="32"/>
              <w:szCs w:val="32"/>
            </w:rPr>
            <w:t>59</w:t>
          </w:r>
          <w:bookmarkEnd w:id="38"/>
          <w:r>
            <w:rPr>
              <w:rFonts w:hint="eastAsia" w:ascii="仿宋_GB2312" w:hAnsi="仿宋_GB2312" w:eastAsia="仿宋_GB2312" w:cs="仿宋_GB2312"/>
              <w:b w:val="0"/>
              <w:bCs w:val="0"/>
              <w:sz w:val="32"/>
              <w:szCs w:val="32"/>
            </w:rPr>
            <w:fldChar w:fldCharType="end"/>
          </w:r>
        </w:p>
        <w:p>
          <w:pPr>
            <w:pStyle w:val="9"/>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_Toc1657097064_WPSOffice_Level1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66e0d971-3e2e-49d5-b3cb-86263e3b0442}"/>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第十章 拓展市场，提升文旅开放合作水平</w:t>
              </w:r>
            </w:sdtContent>
          </w:sdt>
          <w:r>
            <w:rPr>
              <w:rFonts w:hint="eastAsia" w:ascii="仿宋_GB2312" w:hAnsi="仿宋_GB2312" w:eastAsia="仿宋_GB2312" w:cs="仿宋_GB2312"/>
              <w:b w:val="0"/>
              <w:bCs w:val="0"/>
              <w:sz w:val="32"/>
              <w:szCs w:val="32"/>
            </w:rPr>
            <w:tab/>
          </w:r>
          <w:bookmarkStart w:id="39" w:name="_Toc1657097064_WPSOffice_Level1Page"/>
          <w:r>
            <w:rPr>
              <w:rFonts w:hint="eastAsia" w:ascii="仿宋_GB2312" w:hAnsi="仿宋_GB2312" w:eastAsia="仿宋_GB2312" w:cs="仿宋_GB2312"/>
              <w:b w:val="0"/>
              <w:bCs w:val="0"/>
              <w:sz w:val="32"/>
              <w:szCs w:val="32"/>
            </w:rPr>
            <w:t>60</w:t>
          </w:r>
          <w:bookmarkEnd w:id="39"/>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_Toc584625798_WPSOffice_Level2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064f6f0b-4e1c-4b55-872b-6882e82538db}"/>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第一节 加快培育打造文旅新品牌</w:t>
              </w:r>
            </w:sdtContent>
          </w:sdt>
          <w:r>
            <w:rPr>
              <w:rFonts w:hint="eastAsia" w:ascii="仿宋_GB2312" w:hAnsi="仿宋_GB2312" w:eastAsia="仿宋_GB2312" w:cs="仿宋_GB2312"/>
              <w:b w:val="0"/>
              <w:bCs w:val="0"/>
              <w:sz w:val="32"/>
              <w:szCs w:val="32"/>
            </w:rPr>
            <w:tab/>
          </w:r>
          <w:bookmarkStart w:id="40" w:name="_Toc584625798_WPSOffice_Level2Page"/>
          <w:r>
            <w:rPr>
              <w:rFonts w:hint="eastAsia" w:ascii="仿宋_GB2312" w:hAnsi="仿宋_GB2312" w:eastAsia="仿宋_GB2312" w:cs="仿宋_GB2312"/>
              <w:b w:val="0"/>
              <w:bCs w:val="0"/>
              <w:sz w:val="32"/>
              <w:szCs w:val="32"/>
            </w:rPr>
            <w:t>60</w:t>
          </w:r>
          <w:bookmarkEnd w:id="40"/>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_Toc1241412668_WPSOffice_Level2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3d5861b9-e47f-4a9b-8b2a-3a341d1df9aa}"/>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第二节 提高跨区域合作成效</w:t>
              </w:r>
            </w:sdtContent>
          </w:sdt>
          <w:r>
            <w:rPr>
              <w:rFonts w:hint="eastAsia" w:ascii="仿宋_GB2312" w:hAnsi="仿宋_GB2312" w:eastAsia="仿宋_GB2312" w:cs="仿宋_GB2312"/>
              <w:b w:val="0"/>
              <w:bCs w:val="0"/>
              <w:sz w:val="32"/>
              <w:szCs w:val="32"/>
            </w:rPr>
            <w:tab/>
          </w:r>
          <w:bookmarkStart w:id="41" w:name="_Toc1241412668_WPSOffice_Level2Page"/>
          <w:r>
            <w:rPr>
              <w:rFonts w:hint="eastAsia" w:ascii="仿宋_GB2312" w:hAnsi="仿宋_GB2312" w:eastAsia="仿宋_GB2312" w:cs="仿宋_GB2312"/>
              <w:b w:val="0"/>
              <w:bCs w:val="0"/>
              <w:sz w:val="32"/>
              <w:szCs w:val="32"/>
            </w:rPr>
            <w:t>62</w:t>
          </w:r>
          <w:bookmarkEnd w:id="41"/>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_Toc1164343230_WPSOffice_Level2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0b77fe0f-d0fd-4bba-8b89-3829a0a8d7a4}"/>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第三节 加强对外区域旅游合作</w:t>
              </w:r>
            </w:sdtContent>
          </w:sdt>
          <w:r>
            <w:rPr>
              <w:rFonts w:hint="eastAsia" w:ascii="仿宋_GB2312" w:hAnsi="仿宋_GB2312" w:eastAsia="仿宋_GB2312" w:cs="仿宋_GB2312"/>
              <w:b w:val="0"/>
              <w:bCs w:val="0"/>
              <w:sz w:val="32"/>
              <w:szCs w:val="32"/>
            </w:rPr>
            <w:tab/>
          </w:r>
          <w:bookmarkStart w:id="42" w:name="_Toc1164343230_WPSOffice_Level2Page"/>
          <w:r>
            <w:rPr>
              <w:rFonts w:hint="eastAsia" w:ascii="仿宋_GB2312" w:hAnsi="仿宋_GB2312" w:eastAsia="仿宋_GB2312" w:cs="仿宋_GB2312"/>
              <w:b w:val="0"/>
              <w:bCs w:val="0"/>
              <w:sz w:val="32"/>
              <w:szCs w:val="32"/>
            </w:rPr>
            <w:t>63</w:t>
          </w:r>
          <w:bookmarkEnd w:id="42"/>
          <w:r>
            <w:rPr>
              <w:rFonts w:hint="eastAsia" w:ascii="仿宋_GB2312" w:hAnsi="仿宋_GB2312" w:eastAsia="仿宋_GB2312" w:cs="仿宋_GB2312"/>
              <w:b w:val="0"/>
              <w:bCs w:val="0"/>
              <w:sz w:val="32"/>
              <w:szCs w:val="32"/>
            </w:rPr>
            <w:fldChar w:fldCharType="end"/>
          </w:r>
        </w:p>
        <w:p>
          <w:pPr>
            <w:pStyle w:val="9"/>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_Toc477338488_WPSOffice_Level1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78701c71-fb90-4916-b2c6-4a74970d1d5a}"/>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第十一章 统筹协调 强化规划实施保障措施</w:t>
              </w:r>
            </w:sdtContent>
          </w:sdt>
          <w:r>
            <w:rPr>
              <w:rFonts w:hint="eastAsia" w:ascii="仿宋_GB2312" w:hAnsi="仿宋_GB2312" w:eastAsia="仿宋_GB2312" w:cs="仿宋_GB2312"/>
              <w:b w:val="0"/>
              <w:bCs w:val="0"/>
              <w:sz w:val="32"/>
              <w:szCs w:val="32"/>
            </w:rPr>
            <w:tab/>
          </w:r>
          <w:bookmarkStart w:id="43" w:name="_Toc477338488_WPSOffice_Level1Page"/>
          <w:r>
            <w:rPr>
              <w:rFonts w:hint="eastAsia" w:ascii="仿宋_GB2312" w:hAnsi="仿宋_GB2312" w:eastAsia="仿宋_GB2312" w:cs="仿宋_GB2312"/>
              <w:b w:val="0"/>
              <w:bCs w:val="0"/>
              <w:sz w:val="32"/>
              <w:szCs w:val="32"/>
            </w:rPr>
            <w:t>64</w:t>
          </w:r>
          <w:bookmarkEnd w:id="43"/>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_Toc1964533241_WPSOffice_Level2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37b51605-d7fe-4165-b529-ac6370d92062}"/>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第一节 形成规划实施合力</w:t>
              </w:r>
            </w:sdtContent>
          </w:sdt>
          <w:r>
            <w:rPr>
              <w:rFonts w:hint="eastAsia" w:ascii="仿宋_GB2312" w:hAnsi="仿宋_GB2312" w:eastAsia="仿宋_GB2312" w:cs="仿宋_GB2312"/>
              <w:b w:val="0"/>
              <w:bCs w:val="0"/>
              <w:sz w:val="32"/>
              <w:szCs w:val="32"/>
            </w:rPr>
            <w:tab/>
          </w:r>
          <w:bookmarkStart w:id="44" w:name="_Toc1964533241_WPSOffice_Level2Page"/>
          <w:r>
            <w:rPr>
              <w:rFonts w:hint="eastAsia" w:ascii="仿宋_GB2312" w:hAnsi="仿宋_GB2312" w:eastAsia="仿宋_GB2312" w:cs="仿宋_GB2312"/>
              <w:b w:val="0"/>
              <w:bCs w:val="0"/>
              <w:sz w:val="32"/>
              <w:szCs w:val="32"/>
            </w:rPr>
            <w:t>64</w:t>
          </w:r>
          <w:bookmarkEnd w:id="44"/>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_Toc1778991752_WPSOffice_Level2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fd9cee5b-a096-497e-b0e8-ca320f69f4b6}"/>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第二节 加大政策支持力度</w:t>
              </w:r>
            </w:sdtContent>
          </w:sdt>
          <w:r>
            <w:rPr>
              <w:rFonts w:hint="eastAsia" w:ascii="仿宋_GB2312" w:hAnsi="仿宋_GB2312" w:eastAsia="仿宋_GB2312" w:cs="仿宋_GB2312"/>
              <w:b w:val="0"/>
              <w:bCs w:val="0"/>
              <w:sz w:val="32"/>
              <w:szCs w:val="32"/>
            </w:rPr>
            <w:tab/>
          </w:r>
          <w:bookmarkStart w:id="45" w:name="_Toc1778991752_WPSOffice_Level2Page"/>
          <w:r>
            <w:rPr>
              <w:rFonts w:hint="eastAsia" w:ascii="仿宋_GB2312" w:hAnsi="仿宋_GB2312" w:eastAsia="仿宋_GB2312" w:cs="仿宋_GB2312"/>
              <w:b w:val="0"/>
              <w:bCs w:val="0"/>
              <w:sz w:val="32"/>
              <w:szCs w:val="32"/>
            </w:rPr>
            <w:t>65</w:t>
          </w:r>
          <w:bookmarkEnd w:id="45"/>
          <w:r>
            <w:rPr>
              <w:rFonts w:hint="eastAsia" w:ascii="仿宋_GB2312" w:hAnsi="仿宋_GB2312" w:eastAsia="仿宋_GB2312" w:cs="仿宋_GB2312"/>
              <w:b w:val="0"/>
              <w:bCs w:val="0"/>
              <w:sz w:val="32"/>
              <w:szCs w:val="32"/>
            </w:rPr>
            <w:fldChar w:fldCharType="end"/>
          </w:r>
        </w:p>
        <w:p>
          <w:pPr>
            <w:pStyle w:val="10"/>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_Toc434866197_WPSOffice_Level2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d0066470-14b3-410f-b887-0e43463eec63}"/>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第三节 强化体制机制改革</w:t>
              </w:r>
            </w:sdtContent>
          </w:sdt>
          <w:r>
            <w:rPr>
              <w:rFonts w:hint="eastAsia" w:ascii="仿宋_GB2312" w:hAnsi="仿宋_GB2312" w:eastAsia="仿宋_GB2312" w:cs="仿宋_GB2312"/>
              <w:b w:val="0"/>
              <w:bCs w:val="0"/>
              <w:sz w:val="32"/>
              <w:szCs w:val="32"/>
            </w:rPr>
            <w:tab/>
          </w:r>
          <w:bookmarkStart w:id="46" w:name="_Toc434866197_WPSOffice_Level2Page"/>
          <w:r>
            <w:rPr>
              <w:rFonts w:hint="eastAsia" w:ascii="仿宋_GB2312" w:hAnsi="仿宋_GB2312" w:eastAsia="仿宋_GB2312" w:cs="仿宋_GB2312"/>
              <w:b w:val="0"/>
              <w:bCs w:val="0"/>
              <w:sz w:val="32"/>
              <w:szCs w:val="32"/>
            </w:rPr>
            <w:t>66</w:t>
          </w:r>
          <w:bookmarkEnd w:id="46"/>
          <w:r>
            <w:rPr>
              <w:rFonts w:hint="eastAsia" w:ascii="仿宋_GB2312" w:hAnsi="仿宋_GB2312" w:eastAsia="仿宋_GB2312" w:cs="仿宋_GB2312"/>
              <w:b w:val="0"/>
              <w:bCs w:val="0"/>
              <w:sz w:val="32"/>
              <w:szCs w:val="32"/>
            </w:rPr>
            <w:fldChar w:fldCharType="end"/>
          </w:r>
        </w:p>
        <w:p>
          <w:pPr>
            <w:pStyle w:val="10"/>
            <w:tabs>
              <w:tab w:val="right" w:leader="dot" w:pos="8306"/>
            </w:tabs>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_Toc529382905_WPSOffice_Level2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942174737"/>
              <w:placeholder>
                <w:docPart w:val="{ab17f7a6-a431-47e0-908a-403e0a45a082}"/>
              </w:placeholder>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第四节 加大规划实施监督</w:t>
              </w:r>
            </w:sdtContent>
          </w:sdt>
          <w:r>
            <w:rPr>
              <w:rFonts w:hint="eastAsia" w:ascii="仿宋_GB2312" w:hAnsi="仿宋_GB2312" w:eastAsia="仿宋_GB2312" w:cs="仿宋_GB2312"/>
              <w:b w:val="0"/>
              <w:bCs w:val="0"/>
              <w:sz w:val="32"/>
              <w:szCs w:val="32"/>
            </w:rPr>
            <w:tab/>
          </w:r>
          <w:bookmarkStart w:id="47" w:name="_Toc529382905_WPSOffice_Level2Page"/>
          <w:r>
            <w:rPr>
              <w:rFonts w:hint="eastAsia" w:ascii="仿宋_GB2312" w:hAnsi="仿宋_GB2312" w:eastAsia="仿宋_GB2312" w:cs="仿宋_GB2312"/>
              <w:b w:val="0"/>
              <w:bCs w:val="0"/>
              <w:sz w:val="32"/>
              <w:szCs w:val="32"/>
            </w:rPr>
            <w:t>68</w:t>
          </w:r>
          <w:bookmarkEnd w:id="47"/>
          <w:r>
            <w:rPr>
              <w:rFonts w:hint="eastAsia" w:ascii="仿宋_GB2312" w:hAnsi="仿宋_GB2312" w:eastAsia="仿宋_GB2312" w:cs="仿宋_GB2312"/>
              <w:b w:val="0"/>
              <w:bCs w:val="0"/>
              <w:sz w:val="32"/>
              <w:szCs w:val="32"/>
            </w:rPr>
            <w:fldChar w:fldCharType="end"/>
          </w:r>
          <w:bookmarkEnd w:id="0"/>
        </w:p>
      </w:sdtContent>
    </w:sdt>
    <w:p>
      <w:pPr>
        <w:ind w:left="0" w:leftChars="0" w:firstLine="0" w:firstLineChars="0"/>
        <w:rPr>
          <w:rFonts w:hint="default" w:ascii="Times New Roman" w:hAnsi="Times New Roman" w:cs="Times New Roman"/>
        </w:rPr>
      </w:pPr>
    </w:p>
    <w:p>
      <w:pPr>
        <w:rPr>
          <w:rFonts w:hint="default" w:ascii="Times New Roman" w:hAnsi="Times New Roman" w:cs="Times New Roman"/>
        </w:rPr>
        <w:sectPr>
          <w:pgSz w:w="11906" w:h="16838"/>
          <w:pgMar w:top="1440" w:right="1800" w:bottom="1440" w:left="1800" w:header="851" w:footer="992" w:gutter="0"/>
          <w:pgNumType w:fmt="numberInDash"/>
          <w:cols w:space="425"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w w:val="95"/>
        </w:rPr>
      </w:pPr>
      <w:bookmarkStart w:id="48" w:name="_Toc1779435439_WPSOffice_Level1"/>
      <w:r>
        <w:rPr>
          <w:rFonts w:hint="default" w:ascii="Times New Roman" w:hAnsi="Times New Roman" w:cs="Times New Roman"/>
          <w:w w:val="95"/>
        </w:rPr>
        <w:t>第一章 全面审视 抢抓文旅发展新机遇</w:t>
      </w:r>
      <w:bookmarkEnd w:id="48"/>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49" w:name="_Toc672841985_WPSOffice_Level2"/>
      <w:r>
        <w:rPr>
          <w:rFonts w:hint="default" w:ascii="Times New Roman" w:hAnsi="Times New Roman" w:cs="Times New Roman"/>
        </w:rPr>
        <w:t>第一节 “十三五”时期文化旅游发展回顾</w:t>
      </w:r>
      <w:bookmarkEnd w:id="4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“十三五”</w:t>
      </w:r>
      <w:r>
        <w:rPr>
          <w:rFonts w:hint="eastAsia" w:eastAsia="仿宋_GB2312" w:cs="Times New Roman"/>
          <w:lang w:eastAsia="zh-CN"/>
        </w:rPr>
        <w:t>时期</w:t>
      </w:r>
      <w:r>
        <w:rPr>
          <w:rFonts w:hint="default" w:ascii="Times New Roman" w:hAnsi="Times New Roman" w:eastAsia="仿宋_GB2312" w:cs="Times New Roman"/>
        </w:rPr>
        <w:t>，元谋县紧扣县委“一枢纽两胜地两园两区”发展目标，</w:t>
      </w:r>
      <w:r>
        <w:rPr>
          <w:rFonts w:hint="eastAsia" w:eastAsia="仿宋_GB2312" w:cs="Times New Roman"/>
          <w:lang w:eastAsia="zh-CN"/>
        </w:rPr>
        <w:t>围绕</w:t>
      </w:r>
      <w:r>
        <w:rPr>
          <w:rFonts w:hint="default" w:ascii="Times New Roman" w:hAnsi="Times New Roman" w:eastAsia="仿宋_GB2312" w:cs="Times New Roman"/>
        </w:rPr>
        <w:t>打造“人类始祖地·绿色康养乡”总体形象品牌，深入实施全域旅游、融合发展、国际化高端化特色化智慧化三大战略，依托“元谋人”建设一个文化旅游中心、“四大文化旅游区”、“五个文化小镇”、培育“三个休闲农业旅游村”、形成“三大文化旅游走廊”。公共文化服务体系不断健全、文化遗产保护得到加强、文艺精品创作更加繁荣、文化市场管理更加规范有序、文体活动广泛开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w:t>
      </w:r>
      <w:r>
        <w:rPr>
          <w:rFonts w:hint="default" w:ascii="Times New Roman" w:hAnsi="Times New Roman" w:eastAsia="仿宋_GB2312" w:cs="Times New Roman"/>
          <w:lang w:eastAsia="zh-CN"/>
        </w:rPr>
        <w:t>旅游经济实现又好又快发展。</w:t>
      </w:r>
      <w:r>
        <w:rPr>
          <w:rFonts w:hint="default" w:ascii="Times New Roman" w:hAnsi="Times New Roman" w:eastAsia="仿宋_GB2312" w:cs="Times New Roman"/>
        </w:rPr>
        <w:t>2020年全县接待海外游客1225人万次，接待国内游客734.03万人次，实现旅游总收入738489.06万元。十三五”期间，全县共接待中外游客3748.52万人次，累计实现旅游业总收入358.18亿元，年均增长16.09%、30.98%。</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支柱产业基本形成。认真贯彻落实科学发展观，切实抓好以“吃、住、行、游、购、娱、康、体、休”为主的旅游基础设施和接待服务设施建设，不断整合旅游生产力要素，精心培育旅游市场，旅游支柱产业基本形成，旅游拉动经济需求作用明显。元谋人世界公园项目</w:t>
      </w:r>
      <w:r>
        <w:rPr>
          <w:rFonts w:hint="eastAsia" w:eastAsia="仿宋_GB2312" w:cs="Times New Roman"/>
          <w:lang w:eastAsia="zh-CN"/>
        </w:rPr>
        <w:t>，</w:t>
      </w:r>
      <w:r>
        <w:rPr>
          <w:rFonts w:hint="default" w:ascii="Times New Roman" w:hAnsi="Times New Roman" w:eastAsia="仿宋_GB2312" w:cs="Times New Roman"/>
        </w:rPr>
        <w:t>项目总投资85亿元，远古温泉水世界、凤凰大酒店、颐养中心等主要业态已经顺利运营，累计接待游客达91.83万人次，实现营业收入2618.19万元。元谋土林景区提升改造项目</w:t>
      </w:r>
      <w:r>
        <w:rPr>
          <w:rFonts w:hint="eastAsia" w:eastAsia="仿宋_GB2312" w:cs="Times New Roman"/>
          <w:lang w:eastAsia="zh-CN"/>
        </w:rPr>
        <w:t>，</w:t>
      </w:r>
      <w:r>
        <w:rPr>
          <w:rFonts w:hint="default" w:ascii="Times New Roman" w:hAnsi="Times New Roman" w:eastAsia="仿宋_GB2312" w:cs="Times New Roman"/>
        </w:rPr>
        <w:t>累计完成投资1.5亿元</w:t>
      </w:r>
      <w:r>
        <w:rPr>
          <w:rFonts w:hint="eastAsia" w:eastAsia="仿宋_GB2312" w:cs="Times New Roman"/>
          <w:lang w:eastAsia="zh-CN"/>
        </w:rPr>
        <w:t>，</w:t>
      </w:r>
      <w:r>
        <w:rPr>
          <w:rFonts w:hint="default" w:ascii="Times New Roman" w:hAnsi="Times New Roman" w:eastAsia="仿宋_GB2312" w:cs="Times New Roman"/>
        </w:rPr>
        <w:t>物茂土林按照“一部手机游云南”建设任务完成了景区智慧化建设工作</w:t>
      </w:r>
      <w:r>
        <w:rPr>
          <w:rFonts w:hint="eastAsia" w:eastAsia="仿宋_GB2312" w:cs="Times New Roman"/>
          <w:lang w:eastAsia="zh-CN"/>
        </w:rPr>
        <w:t>；</w:t>
      </w:r>
      <w:r>
        <w:rPr>
          <w:rFonts w:hint="default" w:ascii="Times New Roman" w:hAnsi="Times New Roman" w:eastAsia="仿宋_GB2312" w:cs="Times New Roman"/>
        </w:rPr>
        <w:t>浪巴铺土林于2019年12月成功创建国家AAA级旅游景区。金沙湖旅游区项目已签订投资合作协议，正开展前期工作。凤凰湖公园、凤仪公园已建成投入使用已创建国家AAA级旅游景区。元马古镇金马坊已建成投入使用。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品牌创建成果丰硕。成功创建了云南省首批省级全域旅游示范区，荣获全国县域旅游发展潜力百佳县称号。元谋人博物馆被省委宣传部、省文化和旅游厅评为“我最喜欢的云南旅游景区之一”。成功将凤凰湖公园、浪巴铺土林</w:t>
      </w:r>
      <w:r>
        <w:rPr>
          <w:rFonts w:hint="eastAsia" w:eastAsia="仿宋_GB2312" w:cs="Times New Roman"/>
          <w:lang w:eastAsia="zh-CN"/>
        </w:rPr>
        <w:t>创建为</w:t>
      </w:r>
      <w:r>
        <w:rPr>
          <w:rFonts w:hint="default" w:ascii="Times New Roman" w:hAnsi="Times New Roman" w:eastAsia="仿宋_GB2312" w:cs="Times New Roman"/>
        </w:rPr>
        <w:t>国家AAA级旅游景区</w:t>
      </w:r>
      <w:r>
        <w:rPr>
          <w:rFonts w:hint="eastAsia" w:eastAsia="仿宋_GB2312" w:cs="Times New Roman"/>
          <w:lang w:eastAsia="zh-CN"/>
        </w:rPr>
        <w:t>，</w:t>
      </w:r>
      <w:r>
        <w:rPr>
          <w:rFonts w:hint="default" w:ascii="Times New Roman" w:hAnsi="Times New Roman" w:eastAsia="仿宋_GB2312" w:cs="Times New Roman"/>
        </w:rPr>
        <w:t>将元谋人世界公园创建为国家AAAA级旅游景区，A级景区达5个。新华乡华丰村被认定为省级旅游扶贫示范村，黄瓜园镇点连村、平田乡平田村、姜驿乡水平石村被认定为州级旅游扶贫示范村。推动一批高品质的星级酒店、精品酒店、旅游民宿建设，成功将元谋大酒店评定为四星级酒店。培植了一批旅游新业态，腾飞汽车自驾游营地稳步推进，建成汽车、摩托车赛道，并成功举办2018中国元谋越野摩托耐力赛。智慧旅游建设成果显著，完成元谋土林和元谋人博物馆智慧化建设。扎实推进旅游厕所建设任务，</w:t>
      </w:r>
      <w:r>
        <w:rPr>
          <w:rFonts w:hint="eastAsia" w:eastAsia="仿宋_GB2312" w:cs="Times New Roman"/>
          <w:lang w:eastAsia="zh-CN"/>
        </w:rPr>
        <w:t>“</w:t>
      </w:r>
      <w:r>
        <w:rPr>
          <w:rFonts w:hint="default" w:ascii="Times New Roman" w:hAnsi="Times New Roman" w:eastAsia="仿宋_GB2312" w:cs="Times New Roman"/>
        </w:rPr>
        <w:t>十三五</w:t>
      </w:r>
      <w:r>
        <w:rPr>
          <w:rFonts w:hint="eastAsia" w:eastAsia="仿宋_GB2312" w:cs="Times New Roman"/>
          <w:lang w:eastAsia="zh-CN"/>
        </w:rPr>
        <w:t>”</w:t>
      </w:r>
      <w:r>
        <w:rPr>
          <w:rFonts w:hint="default" w:ascii="Times New Roman" w:hAnsi="Times New Roman" w:eastAsia="仿宋_GB2312" w:cs="Times New Roman"/>
        </w:rPr>
        <w:t>期间建成旅游厕所36座，其中A级以上旅游厕所32座，元谋人世界公园1号停车场旅游厕所被评为AAA级旅游厕所。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4.文化旅游进一步融合发展，文化精品不断推出。制作并推出了一批展示元谋风土人情精品MV、旅游产业宣传片、旅游形象宣传片、元谋县歌。参加中国国际旅游交易会、攀枝花旅游推介会等大型推介活动，全方位宣传元谋旅游，提升元谋旅游知名度。文艺精品繁多，参加省州各大赛事，在全州文艺汇演荣获综合一等奖2个、一等奖6个、二等奖15个、三等奖1个。参加云南省花灯滇剧艺术周荣获组织工作奖，一等奖1个、二等奖1个、三等奖3个。荣获马樱花文化创作二等奖4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5.旅游业作为第三产业，拉动经济作用日益明显。结合元谋温度、纬度、高度、洁净度、湿度、优产度、便利度、潜力度八度资源禀赋，围绕省委、省政府打造世界一流绿色能源、绿色食品、健康生活目的地“三张牌”战略，走文化旅游绿色康养目的地建设，引入碧桂园、远达21°时光等旅游地产项目，吸引游客到元谋购房居住，形成了一批拉动经济需求的旅游地产，旅游合力彰显，旅游助推产业拉动经济需求作用明显，21°时光、泷湖大酒店的入驻使旅游服务业提升，高星级酒店新建率领先于楚雄州</w:t>
      </w:r>
      <w:r>
        <w:rPr>
          <w:rFonts w:hint="eastAsia" w:eastAsia="仿宋_GB2312" w:cs="Times New Roman"/>
          <w:lang w:eastAsia="zh-CN"/>
        </w:rPr>
        <w:t>其余</w:t>
      </w:r>
      <w:r>
        <w:rPr>
          <w:rFonts w:hint="default" w:ascii="Times New Roman" w:hAnsi="Times New Roman" w:eastAsia="仿宋_GB2312" w:cs="Times New Roman"/>
        </w:rPr>
        <w:t>九</w:t>
      </w:r>
      <w:r>
        <w:rPr>
          <w:rFonts w:hint="eastAsia" w:eastAsia="仿宋_GB2312" w:cs="Times New Roman"/>
          <w:lang w:eastAsia="zh-CN"/>
        </w:rPr>
        <w:t>县市</w:t>
      </w:r>
      <w:r>
        <w:rPr>
          <w:rFonts w:hint="default" w:ascii="Times New Roman" w:hAnsi="Times New Roman" w:eastAsia="仿宋_GB2312" w:cs="Times New Roma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6.文化建设日趋完善。总投资2700万元、占地10亩的元谋县文化馆、图书馆及报告厅建成投入使用；全县10乡镇综合文化站和78个村（社区）综合文化服务中心按照“十个有”和“九个有”标准建设完善。创作音乐、舞蹈、戏剧、曲艺、小品、书法、摄影等文艺作品2136件，其中省级获奖７个，州级获奖13个。成功举办云南省2020年花灯滇剧艺术周、建州60周年中央民族歌舞团走进元谋慰问演出、元谋果蔬文化旅游节、元谋种业博览会、姜驿蜜桃节、新华桃李文化节、凉山彝族火把节、羊街苗族花山节等各类节庆文化活动。争取资金完成了元谋姜驿“为疆界滇、蜀各有攸分等事碑（含民事判决碑）”迁移保护工程、凉山活佛寺修缮工程，完成元谋丙弄丙洪遗址、江边遗址、龙街腊甸遗址、龙街腊甸小山遗址抢救性发掘工作，发掘面积3万平方米，出土青铜器、陶器、石器、骨器等器物3337件。完成总投资595万元的元谋人遗址保护基础设施建设项目。成功申报省级非物质文化遗产代表性传承人3人，州级非物质文化遗产代表性传承人6人，将8项非物质遗产项目申报为楚雄州第五批非物质文化遗产保护名录。文化市场管理更加规范</w:t>
      </w:r>
      <w:r>
        <w:rPr>
          <w:rFonts w:hint="eastAsia" w:eastAsia="仿宋_GB2312" w:cs="Times New Roman"/>
          <w:lang w:eastAsia="zh-CN"/>
        </w:rPr>
        <w:t>，“</w:t>
      </w:r>
      <w:r>
        <w:rPr>
          <w:rFonts w:hint="default" w:ascii="Times New Roman" w:hAnsi="Times New Roman" w:eastAsia="仿宋_GB2312" w:cs="Times New Roman"/>
        </w:rPr>
        <w:t>十三五</w:t>
      </w:r>
      <w:r>
        <w:rPr>
          <w:rFonts w:hint="eastAsia" w:eastAsia="仿宋_GB2312" w:cs="Times New Roman"/>
          <w:lang w:eastAsia="zh-CN"/>
        </w:rPr>
        <w:t>”</w:t>
      </w:r>
      <w:r>
        <w:rPr>
          <w:rFonts w:hint="default" w:ascii="Times New Roman" w:hAnsi="Times New Roman" w:eastAsia="仿宋_GB2312" w:cs="Times New Roman"/>
        </w:rPr>
        <w:t>期间，共出动执法人员1135人，检查经营单位1498家，检查200次，开展联合专项检查68次,确保全县文化旅游市场健康有序发展。</w:t>
      </w: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50" w:name="_Toc1379907442_WPSOffice_Level2"/>
      <w:r>
        <w:rPr>
          <w:rFonts w:hint="default" w:ascii="Times New Roman" w:hAnsi="Times New Roman" w:cs="Times New Roman"/>
        </w:rPr>
        <w:t>第</w:t>
      </w:r>
      <w:r>
        <w:rPr>
          <w:rFonts w:hint="eastAsia" w:cs="Times New Roman"/>
          <w:lang w:eastAsia="zh-CN"/>
        </w:rPr>
        <w:t>二</w:t>
      </w:r>
      <w:r>
        <w:rPr>
          <w:rFonts w:hint="default" w:ascii="Times New Roman" w:hAnsi="Times New Roman" w:cs="Times New Roman"/>
        </w:rPr>
        <w:t>节</w:t>
      </w:r>
      <w:r>
        <w:rPr>
          <w:rFonts w:hint="default" w:ascii="Times New Roman" w:hAnsi="Times New Roman" w:cs="Times New Roman"/>
          <w:lang w:val="en-US" w:eastAsia="zh-CN"/>
        </w:rPr>
        <w:t xml:space="preserve"> </w:t>
      </w:r>
      <w:r>
        <w:rPr>
          <w:rFonts w:hint="default" w:ascii="Times New Roman" w:hAnsi="Times New Roman" w:cs="Times New Roman"/>
        </w:rPr>
        <w:t>“十三五”期间存在的主要问题</w:t>
      </w:r>
      <w:bookmarkEnd w:id="5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“十三五”期间，全县的文化建设和旅游产业发展取得了明显成效，但仍存在一些问题和“短板”。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基础设施建设薄弱。旅游基础设施和服务设施薄弱，制约旅游产业的发展。元谋县以其独特的区位优势而拥有较为方便的外部交通网络，但县域范围内旅游公路等级低，公路破损严重，旅游环线、旅游专线尚未开通。道路建设未做到路景一体，缺乏特色化，观赏度低。文旅公共服务设施发展欠缺。缺乏集综合服务厅、展示厅、特色商品销售区、餐饮购物中心、休闲娱乐中心、会场中心、精品酒店及其他附属设施为一体的城市旅游集散中心。旅游厕所、自驾车停车场所、无障碍旅游设施、通往各景区景点、元谋新城的旅游标识标牌有待于进一步提升、完善。城乡之间公共文化发展不平衡，各乡镇、村文化站建设管理与公共文化需求不相适应，尤其对边远山区、农村留守等特殊人群存在一定的服务盲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eastAsia" w:eastAsia="仿宋_GB2312" w:cs="Times New Roman"/>
          <w:lang w:val="en-US" w:eastAsia="zh-CN"/>
        </w:rPr>
        <w:t>2</w:t>
      </w:r>
      <w:r>
        <w:rPr>
          <w:rFonts w:hint="default" w:ascii="Times New Roman" w:hAnsi="Times New Roman" w:eastAsia="仿宋_GB2312" w:cs="Times New Roman"/>
        </w:rPr>
        <w:t>.文旅融合还有较大差距。文化是旅游的灵魂，旅游图的是新奇，看的是景点，卖的是文化，既是一项经济性很强的文化产业，又是一项文化性很强的产业经济，旅游只有借助文化内涵才能更具魅力，更具生命力。元谋作为人类的发源地，远古文化、史前文化、农耕文化、红色文化、民族文化丰富独特，但由于挖掘不够，融入不够，包装不够，宣传不够，导致包括元谋人世界公园、元谋土林等景区在内的旅游景区景点缺乏文化内涵，吸引力、竞争力不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eastAsia" w:eastAsia="仿宋_GB2312" w:cs="Times New Roman"/>
          <w:lang w:val="en-US" w:eastAsia="zh-CN"/>
        </w:rPr>
        <w:t>3</w:t>
      </w:r>
      <w:r>
        <w:rPr>
          <w:rFonts w:hint="default" w:ascii="Times New Roman" w:hAnsi="Times New Roman" w:eastAsia="仿宋_GB2312" w:cs="Times New Roman"/>
        </w:rPr>
        <w:t>.专业人才匮乏，各项人才质量层次不齐。全县文化旅游产业的发展尚处于起步阶段，各种层次的旅游专业人才都十分缺乏，乡村旅游发展人才，尤其是高素质的项目策划规划人员、市场营销策划人员、导游人员以及专业饭店管理人员都十分缺乏。文化执法队伍人员及依法行政能力有待加强。文化市场监管技术设备落后，执法保障能力不强。专业文艺人才趋于老龄化，较难进行活动的创新，文艺编创、文博研究等专业人才严重不足。人才引进机制不合理，致使人才难留，难以开展专业要求度高的活动，不利于活动整体质量的提升。乡镇文化站人员变动频繁，业务素质较低，导致乡镇文化站工作无法有序开展。而村一级受待遇、人员等的限制，村文化辅导员对业务不熟悉、工作责任心不强，导致村文化活动室、管理混乱，村一级的文化活动缺少活力。各地群众文化活动队伍的骨干人才较少，导致活动团队的整体素质难以提高，活动质量大打折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eastAsia" w:eastAsia="仿宋_GB2312" w:cs="Times New Roman"/>
          <w:lang w:val="en-US" w:eastAsia="zh-CN"/>
        </w:rPr>
        <w:t>4.</w:t>
      </w:r>
      <w:r>
        <w:rPr>
          <w:rFonts w:hint="default" w:ascii="Times New Roman" w:hAnsi="Times New Roman" w:eastAsia="仿宋_GB2312" w:cs="Times New Roman"/>
        </w:rPr>
        <w:t>资金投入不足，项目建设力度弱。文化旅游项目前期资金压力大。“十三五”期间计划实施重点项目23个，计划完成投资50.65亿元，由于项目前期资金压力较大，项目成熟度不高，致使难以开展项目申报及招商引资等后续工作。文化事业活动经费不足。文化馆、图书馆及乡镇文化站免费开放所需经费无法满足广大群众日益增长的精神文化生活需求，难以维持正常的免费开放，严重制约工作的正常开展。同时文化精品创作，优秀（节）目编排，文化活动开展等，都需要大量经费投入。经费投入不足，直接导致文化活动的质量和影响力都有所下降。宣传推介不力。旅游产业是一项高投入高产出的产业，从基础设施的建设到景点的开发再到旅游产品的包装宣传推介，都需要有足够的资金作后盾。县财政困难，没有更多的资金用于旅游基础设施建设及其项目策划、规划、包装等前期费用，从而限制了旅游产业的进一步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eastAsia" w:eastAsia="仿宋_GB2312" w:cs="Times New Roman"/>
          <w:lang w:val="en-US" w:eastAsia="zh-CN"/>
        </w:rPr>
        <w:t>5.</w:t>
      </w:r>
      <w:r>
        <w:rPr>
          <w:rFonts w:hint="default" w:ascii="Times New Roman" w:hAnsi="Times New Roman" w:eastAsia="仿宋_GB2312" w:cs="Times New Roman"/>
        </w:rPr>
        <w:t>文化旅游商品开发滞后。旅游商品生产经营企业小、散、弱，缺乏龙头企业支撑，生产研发能力弱，品牌意识差、技术含量低、产业化程度低、附加值不高，对文化旅游产业发展的辅助支撑几乎缺位；旅游商品种类单一，从现在已经开发上市的旅游商品来看，对工艺美术品、手工艺品、文化艺术品、民俗用品、旅游生活品、旅游纪念品等附加值较高的文创旅游商品缺乏研发和生产能力。</w:t>
      </w:r>
    </w:p>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w w:val="82"/>
        </w:rPr>
      </w:pPr>
    </w:p>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w w:val="82"/>
        </w:rPr>
      </w:pPr>
      <w:bookmarkStart w:id="51" w:name="_Toc672841985_WPSOffice_Level1"/>
      <w:r>
        <w:rPr>
          <w:rFonts w:hint="default" w:ascii="Times New Roman" w:hAnsi="Times New Roman" w:cs="Times New Roman"/>
          <w:w w:val="82"/>
        </w:rPr>
        <w:t>第二章 “十四五”文化和旅游发展面临的形势</w:t>
      </w:r>
      <w:bookmarkEnd w:id="51"/>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52" w:name="_Toc537579084_WPSOffice_Level2"/>
      <w:r>
        <w:rPr>
          <w:rFonts w:hint="default" w:ascii="Times New Roman" w:hAnsi="Times New Roman" w:cs="Times New Roman"/>
        </w:rPr>
        <w:t xml:space="preserve">第一节 </w:t>
      </w:r>
      <w:r>
        <w:rPr>
          <w:rFonts w:hint="eastAsia" w:cs="Times New Roman"/>
          <w:lang w:eastAsia="zh-CN"/>
        </w:rPr>
        <w:t>“</w:t>
      </w:r>
      <w:r>
        <w:rPr>
          <w:rFonts w:hint="default" w:ascii="Times New Roman" w:hAnsi="Times New Roman" w:cs="Times New Roman"/>
        </w:rPr>
        <w:t>十四五</w:t>
      </w:r>
      <w:r>
        <w:rPr>
          <w:rFonts w:hint="eastAsia" w:cs="Times New Roman"/>
          <w:lang w:eastAsia="zh-CN"/>
        </w:rPr>
        <w:t>”</w:t>
      </w:r>
      <w:r>
        <w:rPr>
          <w:rFonts w:hint="default" w:ascii="Times New Roman" w:hAnsi="Times New Roman" w:cs="Times New Roman"/>
        </w:rPr>
        <w:t>发展机遇</w:t>
      </w:r>
      <w:bookmarkEnd w:id="5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十四五”时期是我国全面建成小康社会、实现第一个百年奋斗目标之后，乘势而上开启全面建设社会主义现代化国家新征程、向第二个百年奋斗目标进军的第一个五年。十九大报告提出，我国经济已由高速增长阶段转向高质量发展阶段，高质量发展是“十四五”时期我国文化和旅游业发展的主线，也是实现文化和旅游业健康可持续发展的必由之路。新时期，我国文旅发展的机遇与挑战并存。对中国文化和旅游业来说，最重要的就是把握新时代新特征，明晰新方向新使命，真正以人为本，实现文化和旅游业的高质量发展，更好地满足人民群众不断升级的文化和旅游消费需求，更有力的拉动内需，为中国经济的发展做出应有的贡献。国内疫情形势逐步好转，当前经济形势形成新的发展格局，面临新机遇新挑战，迎接新任务，描绘新蓝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1.</w:t>
      </w:r>
      <w:r>
        <w:rPr>
          <w:rFonts w:hint="default" w:ascii="Times New Roman" w:hAnsi="Times New Roman" w:eastAsia="仿宋_GB2312" w:cs="Times New Roman"/>
        </w:rPr>
        <w:t>国家层面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从国家层面看，随着一带一路、乡村振兴、生态文明、数字中国等国家战略的持续推进，跨境旅游、乡村旅游、农业旅游、生态旅游、智慧旅游等领域将得到大力发展，文化事业和文化产业繁荣发展。围绕国际国内社会经济发展需求，“国内国际双循环、两新一重、高质量发展”将成为十四五期间全国社会经济发展的关键词。从文化和旅游行业来看，“十四五”是文化和旅游部组建以来第一个五年，文旅融合、旅游高质量发展将成为文化和旅游业发展的主旋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2.</w:t>
      </w:r>
      <w:r>
        <w:rPr>
          <w:rFonts w:hint="default" w:ascii="Times New Roman" w:hAnsi="Times New Roman" w:eastAsia="仿宋_GB2312" w:cs="Times New Roman"/>
        </w:rPr>
        <w:t>云南省层面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云南省文旅发展总目标是把云南建成主客共享的世界一流健康生活目的地，融入和服务“一带一路”的文化和旅游新高地，面向南亚东南亚的文化和旅游辐射中心，随着《大滇西旅游环线规划》、《滇中城市群发展规划》等省域层面的规划的逐步实施，文化和旅游产业将成为云南省更加文明、和谐、智慧、便利、安全、幸福的美好产业和全省经济社会发展的万亿支柱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3.</w:t>
      </w:r>
      <w:r>
        <w:rPr>
          <w:rFonts w:hint="default" w:ascii="Times New Roman" w:hAnsi="Times New Roman" w:eastAsia="仿宋_GB2312" w:cs="Times New Roman"/>
        </w:rPr>
        <w:t>楚雄州层面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楚雄州具有区位、资源、生态、产业、民族文化5大发展优势，拥有世界恐龙之乡、东方人类故乡、中国彝族文化大观园三张亮丽的世界级名片，楚雄州地处大滇西旅游环线双环交汇区，是滇中核心旅游圈的重要板块、国家级滇川风景道的核心枢纽，也是云南省打造滇中核心旅游圈、沿金沙江文化旅游带的重要区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4.</w:t>
      </w:r>
      <w:r>
        <w:rPr>
          <w:rFonts w:hint="default" w:ascii="Times New Roman" w:hAnsi="Times New Roman" w:eastAsia="仿宋_GB2312" w:cs="Times New Roman"/>
        </w:rPr>
        <w:t>元谋县层面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元谋县区位优越、资源丰富、气候适宜、生态良好，到处是好山、好水、好空气，具有适合人类生存的“八度资源禀赋”（温度、纬度、高度、洁净度、湿度、优产度、便利度、潜力度）优势，拥有“东方人类故乡”“冬早蔬菜之乡”“绿色康养之乡”三张名片。除了上述优势，元谋县还面临文旅融合发展提供的新机遇、“一带一路”、长江经济带发展带来的新机遇、现代科技带来的新机遇、政策支持力度加大带来机遇、乡村振兴战略带来新机遇、推动滇中城市经济圈发展带来新机遇、元谋县资源禀赋及产业基础为助力打造世界一流“健康生活目的地牌”排头兵带来新机遇。</w:t>
      </w: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53" w:name="_Toc1418006615_WPSOffice_Level2"/>
      <w:r>
        <w:rPr>
          <w:rFonts w:hint="default" w:ascii="Times New Roman" w:hAnsi="Times New Roman" w:cs="Times New Roman"/>
        </w:rPr>
        <w:t>第二节</w:t>
      </w:r>
      <w:r>
        <w:rPr>
          <w:rFonts w:hint="default" w:ascii="Times New Roman" w:hAnsi="Times New Roman" w:cs="Times New Roman"/>
          <w:lang w:val="en-US" w:eastAsia="zh-CN"/>
        </w:rPr>
        <w:t xml:space="preserve"> </w:t>
      </w:r>
      <w:r>
        <w:rPr>
          <w:rFonts w:hint="default" w:ascii="Times New Roman" w:hAnsi="Times New Roman" w:cs="Times New Roman"/>
        </w:rPr>
        <w:t>“十四五”文化旅游发展挑战</w:t>
      </w:r>
      <w:bookmarkEnd w:id="5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文化旅游资源的相似性带来挑战。元谋县与周边县市的旅游资源具有相似性，均以自然生态景观、历史文化遗产和少数民族风情资源为主，旅游产品均以观光旅游、生态旅游和民族风情体验为主，旅游发展存在同质化竞争。元谋县旅游开发建设快速发展，旅游发展水平与周边县市存在竞争与合作关系，对元谋县而言是重要挑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交通基础设施的不断提升带来挑战。随着高速公路建设，使楚雄充分的融入大滇西旅游环线建设当中。交通基础设施的不断提升，游客进入滇西区域变得更加快捷，很多游客因此会跳过楚雄及周边县市，直接乘高铁去往大理、丽江等地。因此如何提升元谋文旅产品吸引力，避免元谋成为过境式短暂旅游服务区是面临的重大挑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全球性新冠肺炎疫情带来的新挑战。当前爆发的全球性新冠肺炎疫情，不仅加速了世界经济格局的变化，使世界经济增长动能持续减弱，经济幅度下滑，也对我国运输物流、餐饮住宿、批发零售、文化旅游等行业以及中小微型企业造成明显的冲击。在境外疫情持续蔓延的影响下，许多国家采取限制入境、减少人员流动等非常措施，风险在全产业链中快速传递，致使国内游、出境游、入境游等市场受到剧烈冲击，尤其是疫情影响和“后疫情时期”有可能延伸至“十四五”期间，使各地面临着如何有效应对全球性新冠肺炎疫情及各种公共卫生突发事件的新挑战，以加快推进文化旅游产业恢复振兴和健康发展。</w:t>
      </w:r>
    </w:p>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w w:val="67"/>
        </w:rPr>
      </w:pPr>
    </w:p>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eastAsia" w:ascii="Times New Roman" w:hAnsi="Times New Roman" w:eastAsia="方正小标宋简体" w:cs="Times New Roman"/>
          <w:w w:val="100"/>
          <w:sz w:val="44"/>
          <w:lang w:eastAsia="zh-CN"/>
        </w:rPr>
      </w:pPr>
      <w:bookmarkStart w:id="54" w:name="_Toc1379907442_WPSOffice_Level1"/>
      <w:r>
        <w:rPr>
          <w:rFonts w:hint="default" w:ascii="Times New Roman" w:hAnsi="Times New Roman" w:cs="Times New Roman"/>
          <w:w w:val="100"/>
          <w:sz w:val="44"/>
        </w:rPr>
        <w:t>第三章</w:t>
      </w:r>
      <w:r>
        <w:rPr>
          <w:rFonts w:hint="default" w:ascii="Times New Roman" w:hAnsi="Times New Roman" w:cs="Times New Roman"/>
          <w:w w:val="100"/>
          <w:sz w:val="44"/>
          <w:lang w:val="en-US" w:eastAsia="zh-CN"/>
        </w:rPr>
        <w:t xml:space="preserve"> </w:t>
      </w:r>
      <w:r>
        <w:rPr>
          <w:rFonts w:hint="eastAsia" w:cs="Times New Roman"/>
          <w:w w:val="100"/>
          <w:sz w:val="44"/>
          <w:lang w:eastAsia="zh-CN"/>
        </w:rPr>
        <w:t>总体思路</w:t>
      </w:r>
      <w:bookmarkEnd w:id="54"/>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55" w:name="_Toc712333312_WPSOffice_Level2"/>
      <w:r>
        <w:rPr>
          <w:rFonts w:hint="default" w:ascii="Times New Roman" w:hAnsi="Times New Roman" w:cs="Times New Roman"/>
        </w:rPr>
        <w:t>第一节 指导思想</w:t>
      </w:r>
      <w:bookmarkEnd w:id="5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坚持以习近平新时代中国特色社会主义思想为指导，全面贯彻落实党的十九大和十九届历次全会，深入贯彻习近平总书记考察云南重要讲话精神，牢固树立和落实创新、协调、绿色、开发、共享发展理念，主动融入省委省政府“三张牌”建设，按照省委、省政府“国际化、高端化、特色化、智慧化”文化旅游发展要求，紧扣州委“滇中崛起增长极、现代农业示范区、民族团结进步示范区”发展目标和县委“一枢纽两胜地两园两区”发展定位，抓住全省大滇西旅游环线建设和全州文化旅游“四大走廊”规划建设机遇，大力推进“旅游革命”和“一部手机游云南”建设，深入实施全域旅游、融合发展、国际化高端化特色化智慧化三大战略，以重大项目建设为抓手，全面推进“旅游革命”和旅游业转型升级，全力打造大滇西旅游环线新亮点和文旅产业发展新高地，完善现代公共文化服务体系，培育文化旅游精品名牌，努力推动文化旅游业高质量发展，加快实现从旅游过境地向旅游目的地转变。</w:t>
      </w: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56" w:name="_Toc2144375267_WPSOffice_Level2"/>
      <w:r>
        <w:rPr>
          <w:rFonts w:hint="default" w:ascii="Times New Roman" w:hAnsi="Times New Roman" w:cs="Times New Roman"/>
        </w:rPr>
        <w:t>第二节 基本原则</w:t>
      </w:r>
      <w:bookmarkEnd w:id="56"/>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1.坚持政府引导，市场主体。更好发挥政府在产业发展中引导作用，以市场为主体,完善文化旅游要素体系，着力开发多样化、高端化国际化特色化智慧化的文化旅游产品，加快推进全县文旅高质量发展。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坚持科技创新，增强文旅新动能。顺应新时代经济社会发展和现代新科技发展趋势，坚持创新驱动和品牌引领，充分发挥互联网、大数据、云计算等功能，坚持文旅信息化发展道路，实施“科技兴旅”，加大科技应用力度。加快推动我县文旅创新发展，深化文化旅游管理体制改革，创新发展机制，不断完善支持政策，激发创新动力，释放潜能，提升文旅智慧化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坚持融合协调发展，形成文旅发展新格局。坚持目标导向和问题导向相结合，围绕补短板、强弱项的要求，正确处理好政府与市场、国有与民营、存量与增量、保护与开发等重要关系，统筹推进公共文化体系建设、文旅深度融合、全域旅游发展，促进文化艺术繁荣发展，优秀传统文化传承弘扬，文旅产业健康发展，新业态产品供给壮大，更好满足人民群众对美好生活的需要。积极推进“旅游+”“+旅游”融合，充分释放旅游业的综合带动功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4.坚持可持续发展，保护与开发并重。践行“绿水青山就是金山银山”理念，坚持开发与保护并重，加强对文物文化遗产的保护传承，挖掘优秀传统文化和民族文化特色，创新保护性开发的有效途径，增加优秀精神文化产品，发展文化生态旅游，倡导绿色低碳旅游，净化社会文化环境，形成文明和谐生活方式，促进我县文旅可持续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5.坚持项目带动，全域发展。以重大重点项目建设为支撑，加快推进“国际化高端化特色化智慧化”重大文旅项目建设，不断提升元谋旅游核心竞争力和吸引力，进一步优化空间布局和产业结构，拓展发展领域和空间，促进全域旅游发展。</w:t>
      </w: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57" w:name="_Toc1345327761_WPSOffice_Level2"/>
      <w:r>
        <w:rPr>
          <w:rFonts w:hint="default" w:ascii="Times New Roman" w:hAnsi="Times New Roman" w:cs="Times New Roman"/>
        </w:rPr>
        <w:t>第三节 发展定位</w:t>
      </w:r>
      <w:bookmarkEnd w:id="5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打造全国知名旅游康养休闲胜地。抓住全省大滇西旅游环线建设和全州“四大走廊”建设规划契机，以创建国家级全域旅游示范区为统领，着力培育国际化、高端化、智慧化、特色化的文化旅游品牌，全力打造世界一流“健康生活目的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打造“元谋人”生命起源探寻胜地。以元谋人远古文化为统揽，以打造元谋人世界公园元谋人文化园及元谋人遗址公园为突破口，大力推动远古文化实物化；围绕打造奇山异水走廊，着力推进土林旅游景区景点及其周边基础设施升级改造，加大对热坝田园风光资源的包装开发，加快元马镇普登田园综合体等项目建设，打造一批融合度高的乡村旅游示范点。以红色文化为底蕴，以金沙江乌东德水电站库区“高峡平湖”水体景观为载体，高标准规划打造金沙湖生态旅游区；结合区域经济发展，发掘新的旅游资源，打通与周边地区重要景区景点的交通运输网络，打造安全舒适快捷的旅游环线，加快推进智慧旅游，主动融入周边地区旅游景区景点共同发展。</w:t>
      </w: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58" w:name="_Toc1240783053_WPSOffice_Level2"/>
      <w:r>
        <w:rPr>
          <w:rFonts w:hint="default" w:ascii="Times New Roman" w:hAnsi="Times New Roman" w:cs="Times New Roman"/>
        </w:rPr>
        <w:t>第四节 发展目标</w:t>
      </w:r>
      <w:bookmarkEnd w:id="5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cs="Times New Roman"/>
        </w:rPr>
      </w:pPr>
      <w:r>
        <w:rPr>
          <w:rFonts w:hint="default" w:ascii="Times New Roman" w:hAnsi="Times New Roman" w:eastAsia="仿宋_GB2312" w:cs="Times New Roman"/>
        </w:rPr>
        <w:t>立足元谋资源和交通区位优势，元谋旅游业发展将按照省委省政府“三张牌”以及州委“滇中崛起增长极、现代农业示范区、民族团结进步示范区”发展要求，紧紧抓住全省打造“三张牌”、滇中旅游转型升级和全州建设“四大走廊”机遇，积极融入大滇西旅游环线建设，围绕县委“一枢纽两胜地两园两区”发展思路，打造“东方人类故乡、冬早蔬菜之乡、绿色康养之乡”总体形象品牌，主动融入全州、全省、全国、全球旅游产业发展布局，在融入中发展自己，在融入中发展全局，服务全国、全省、全州发展战略，推动元谋文旅项目大提速，文旅融合大发展，文旅高质量发展大提升。到2025年，力争实现5个突破：接待游客（按现口径统计）突破1500万人次以上；旅游总收入突破150亿元以上；年均旅游投资突破10亿元；文化旅游产业增加值占GDP比重突破14%；旅游发展综合实力和主要旅游经济指标领跑全州。</w:t>
      </w: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59" w:name="_Toc1657097064_WPSOffice_Level2"/>
      <w:r>
        <w:rPr>
          <w:rFonts w:hint="default" w:ascii="Times New Roman" w:hAnsi="Times New Roman" w:cs="Times New Roman"/>
        </w:rPr>
        <w:t>第五节 发展布局</w:t>
      </w:r>
      <w:bookmarkEnd w:id="5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重点以“两胜地”（“元谋人”生命起源科学探寻胜地和全国知名旅游康养休闲胜地）为统领，规划建设“一心、四片、两廊带”全域旅游发展格局，推动全县文化旅游业高质量发展。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元谋人”生命起源科学探寻胜地：深入贯彻落实习近平总书记关于“建设中国特色中国风格中国气派的考古学，更好认识源远流长博大精深的中华文明。我国是东方人类的故乡，同非洲并列人类起源最早之地”的指示精神，坚定文化自信，依托广泛分布于我县境内的古人类遗迹，围绕打造记述生命起源的生命走廊，以元谋远古文化为统揽，以打造元谋人世界公园及元谋人遗址公园为载体，大力推动远古文化实物化；积极寻求与高校、科研院所合作，大力开发探寻科考科普产品，开展生命起源科学探寻、旅游、研学等活动，建设全国乃至全球人类起源寻访、研究及文化体验目的地，打造“元谋人”生命起源科学探寻胜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全国知名旅游康养休闲胜地：深度挖掘农耕文化、红色文化、民族文化，依托土林奇观、金沙江大峡谷、热坝田园风光，充分发挥得天独厚、不可复制的气候、阳光、空气、生态等自然资源优势，积极推进“旅游+康养”模式，培育一批集观光、体验、科普、休闲于一体，具有创新、示范及引领作用的旅游康养基地；培育元谋独特的避寒养生品牌，发展旅居、度假型“候鸟”休闲养生等业态；围绕健康管理、高端体检、养生保健、康复疗养等内容，扶持和发展一批高端特色休闲养生项目，构筑绿色康养产业发展的重要体系和配套支撑，形成文化特色鲜明、康养氛围浓郁、设施设备完善的康养休闲目的地，打造全国知名旅游康养休闲胜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一心：以县城为中心，以打造国家旅游休闲示范城市为目标，加快县城及周边基础设施建设，着力把县城打造成旅游休闲中心和旅游服务中心。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四片：做大“中部文化旅游康养片区、北部金沙江峡谷旅游片区、西部元谋土林旅游片区、东南部民族风情旅游片区”四大旅游片区。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两廊带：做特“名胜景观旅游廊带、田园风光旅游廊带”两条旅游走廊，做优全县旅游精品环线。</w:t>
      </w:r>
    </w:p>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w w:val="85"/>
        </w:rPr>
      </w:pPr>
    </w:p>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w w:val="85"/>
        </w:rPr>
      </w:pPr>
      <w:bookmarkStart w:id="60" w:name="_Toc537579084_WPSOffice_Level1"/>
      <w:r>
        <w:rPr>
          <w:rFonts w:hint="default" w:ascii="Times New Roman" w:hAnsi="Times New Roman" w:cs="Times New Roman"/>
          <w:w w:val="85"/>
        </w:rPr>
        <w:t>第四章 打造“元谋人”生命起源科学探寻胜地</w:t>
      </w:r>
      <w:bookmarkEnd w:id="6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依托“元谋人”“元谋古猿”“恐龙公墓”等元谋境内古人类、古生物、古化石世界级文化旅游资源，在强化资源保护的基础上，弘扬元谋“远古”文化，深入推进文化与旅游产业融合发展，积极开展科考科普活动，活化文物利用，强化“元谋人”名牌效应，打造具有国际影响力的研究地球生命起源和生物演化、解密恐龙消失之谜、探索人类文明的神秘走廊，构建“东方人类故乡”这一人类精神家园，打造华夏儿女心灵憩息地，激发中华民族文化自信。</w:t>
      </w: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61" w:name="_Toc477338488_WPSOffice_Level2"/>
      <w:r>
        <w:rPr>
          <w:rFonts w:hint="default" w:ascii="Times New Roman" w:hAnsi="Times New Roman" w:cs="Times New Roman"/>
        </w:rPr>
        <w:t>第一节 挖掘弘扬元谋“远古”文化</w:t>
      </w:r>
      <w:bookmarkEnd w:id="6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充分挖掘1.8亿年前的恐龙、800-600万年前的元谋古猿、170万年前的元谋人，以及旧石器、中石器、新石器三个不同时代出土的大量遗址、遗物和遗存等重要文化资源，全面弘扬元谋远古文化，开启“元谋人”生命起源科学探寻之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1.构建元谋“生命走廊”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主动融入楚雄州“记述生命起源的生命走廊”建设，挖掘其文化内涵，以时间轴为线路，规划路线景点，完善基础设施和配套设施建设，把元谋人遗址、元谋人博物馆、元谋古猿化石地点、元谋恐龙化石地点、大墩子遗址、下淇柳新石器、旧石器遗址等“古生命现场”和其它旅游资源有机融合、相辅相成，全面展示中华文明起源和文化发展的历史脉络，讲述生命起源。依托“元谋人”较高的科学价值和社会文化价值，利用遗址公园平台开展历史及考古知识等科普教育活动，凸显元谋在研究古人类化石的地理分布、体质形态演变等方面的重要意义。在完整保护的前提下，最大程度地展示文物和考古遗迹资源的原真性，建设世界古人类文化体验馆、中国古人类研究中心、元谋部落体验区、元谋人大舞台、“元谋人”主题乐园等主题式旅游项目，让元谋成为深度展示和体验远古人类文明的研学旅游目的地，成为发展研学旅游产业的重要支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2.弘扬元谋“远古”文化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以“元谋人”为核心，挖掘中华民族历史演进、火文化、新旧石器及远古农耕文明等文化内涵，充分体现文化旅游的娱乐性、展览性、参与性、教育性兼地方特色，以果蔬节、种业博览会、远古文化节等为基础，广泛开展与元谋人文化密切相关的节庆活动、文博展览、文艺展演、文化研讨、体育竞技、商贸旅游等活动，高规格谋划举办东方人类回乡祭祖节。力争省州乃至国家层面每年举办祭祖节，邀请海内外华人华侨代表、社会知名人士、商界名流及国家、省、州领导出席，扩大海内外的影响力，固化记忆，形成品牌效应。推进高科技手段融入“生命起源走廊”的标识系统、解说系统、保护与开发，促进资源能“说话”、会 “说话”、说“文化话”、说“旅游话”，做特做亮生命走廊科普、科考旅游。发挥“元谋人”引领聚合作用，以“元谋人”文化为主线，将红色文化、民族民间文化、元谋土林地质奇观、金沙江大峡谷、元谋热坝田园自然生态风光等联成一体，打造文化旅游精品。加快祭祖寻根文化建设，提升 “元谋人”世界公园的文化影响力，对景区进行“三个一”文化包装：唱一首好歌，请名家作词谱曲，将东方人类始祖地--元谋唱响世界，广泛流传；演一台好戏，将“元谋人”敢于创新、敢于斗争的精神打造出一台吸引眼球的文艺节目，在景区内定时演出；建一个好园，规划设计开放式的农耕博物园，展示从原始社会到农耕文明开始的所有劳动工具及技艺，吸引游客参与互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3.打造中华民族共同精神家园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深入挖掘元谋古人类文化内涵，组织专家学者开展胜地建设研讨、“元谋人”文化挖掘，积极争取中央和省州对元谋科学、文化、旅游等全方位的支持，打造祭拜人类祖先（祭祖坛）、听元谋人远古故事（元谋人遗址）、看地球沧桑巨变（元谋土林和金沙江大峡谷）等重点内容，积极申报“元谋人”遗址公园，满足人们对人类起源寻访、研究及文化体验的需求，发挥遗址公园科研和科普两方面的价值，积极创建东方古人类文化科考科普研究中心，将元谋打造成为全国科普教育和爱国主义教育基地。加强体验性、文化性及参与性的策划设计，深入挖掘元谋古人类历史文化的潜力，让世界人民回到元谋都有一种回家的归属感，营造中国人回到元谋是找寻“血脉之源”的氛围。积极筹备，争取在2025年举办“元谋人发现六十周年纪念会暨古人类学术研讨会”。借力学术研讨和创作影视作品，大力推动“元谋人”文化学术专著的出版。加强影视创作展播，创作一批优秀题材和剧本，争取元谋人文化题材的电影电视剧的拍摄。撰写出版一批适合不同年龄段读者阅读的“元谋人”科普刊物，将“元谋人”文化深入千家万户。深度挖掘“元谋人”文化的丰富内涵，树立、维护和共享“元谋人”文化主题品牌。增强对“元谋人”始祖的认同感。</w:t>
      </w: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62" w:name="_Toc778277978_WPSOffice_Level2"/>
      <w:r>
        <w:rPr>
          <w:rFonts w:hint="default" w:ascii="Times New Roman" w:hAnsi="Times New Roman" w:cs="Times New Roman"/>
        </w:rPr>
        <w:t>第二节 推进元谋“远古”文化实物化</w:t>
      </w:r>
      <w:bookmarkEnd w:id="6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依托“元谋人”这一世界级文化资源，以项目建设为抓手，加快“元谋人”世界公园、“元谋人”遗址公园建设，打响“元谋人”文化品牌，积极开展科考科普活动，擦亮“东方人类故乡”名片，推进元谋“远古”文化实物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1.加快“元谋人”文化园建设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打造元谋古人类历史文化展示平台，加快创建以观光旅游为基础，具有娱乐性、展览性、参与性、教育性兼地方特色的旅游度假环境。推进入园主题区、生命之光表演区、生命广场区、古人类文化体验区、两带区域及祭祀区六大功能区建设，开展主题元素演出，加快古人类雕塑、古建筑群等标志性建筑建设，完善史前洞穴人群居文化为主题的休闲配套服务等，以多种形式展示古人类文化，不断增强游客的代入感和体验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2.加快</w:t>
      </w:r>
      <w:r>
        <w:rPr>
          <w:rFonts w:hint="eastAsia" w:eastAsia="仿宋_GB2312" w:cs="Times New Roman"/>
          <w:lang w:eastAsia="zh-CN"/>
        </w:rPr>
        <w:t>元谋猿人国家</w:t>
      </w:r>
      <w:r>
        <w:rPr>
          <w:rFonts w:hint="default" w:ascii="Times New Roman" w:hAnsi="Times New Roman" w:eastAsia="仿宋_GB2312" w:cs="Times New Roman"/>
        </w:rPr>
        <w:t>遗址公园建设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以展现闻名海内外的</w:t>
      </w:r>
      <w:r>
        <w:rPr>
          <w:rFonts w:hint="eastAsia" w:eastAsia="仿宋_GB2312" w:cs="Times New Roman"/>
          <w:lang w:eastAsia="zh-CN"/>
        </w:rPr>
        <w:t>元谋猿人</w:t>
      </w:r>
      <w:r>
        <w:rPr>
          <w:rFonts w:hint="default" w:ascii="Times New Roman" w:hAnsi="Times New Roman" w:eastAsia="仿宋_GB2312" w:cs="Times New Roman"/>
        </w:rPr>
        <w:t>遗址为核心，以物化和活化元谋古人类文化为重点，深入挖掘元谋古人类的文化内涵，实施好遗址公园建设。围绕“元谋人”世界公园和</w:t>
      </w:r>
      <w:r>
        <w:rPr>
          <w:rFonts w:hint="eastAsia" w:eastAsia="仿宋_GB2312" w:cs="Times New Roman"/>
          <w:lang w:eastAsia="zh-CN"/>
        </w:rPr>
        <w:t>元谋猿人</w:t>
      </w:r>
      <w:r>
        <w:rPr>
          <w:rFonts w:hint="default" w:ascii="Times New Roman" w:hAnsi="Times New Roman" w:eastAsia="仿宋_GB2312" w:cs="Times New Roman"/>
        </w:rPr>
        <w:t>遗址公园两大项目，重点打造集科学研究、科普教育、旅游功能于一体的大型户外沉浸式远古世界研学游乐项目。加快完善道路交通、环境卫生等基础设施，实施环境绿化、美化工程。加快建设瞭望塔及监控监测系统和文物展示区，完善文物（标本）整理、修复、保管及展厅设施，满足人们对人类起源寻访、研究及文化体验的需求，最大程度地展示文物和考古遗迹资源的原真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3.开展科考科普活动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积极创建东方古人类文化科考科普研究中心，利用遗址公园、元谋人博物馆等平台，开展历史及考古知识等科普教育活动。高位推动与中国科学院古脊椎动物与古人类研究所、云南省文物考古研究所及全国考古专业院校的全面合作，充分发挥其在古人类学基础科学研究、野外科考、国际合作、培训教育、化石修复、科学传播和博物馆展陈等方面的优势，共同打造建设集科学研究、科学考察、科普教育、保护开发于一体的院地合作基地，谋划举办地质夏令营、文艺采风等科普、教育、文艺创作等活动，积极动员全国高等院校具备考古发掘资质的院系申报元谋古人类遗址的考古发掘资质，到元谋开展旧石器时代考古发掘的实习和研究工作，推进元谋打造科考科普基地。</w:t>
      </w: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63" w:name="_Toc764175948_WPSOffice_Level2"/>
      <w:r>
        <w:rPr>
          <w:rFonts w:hint="default" w:ascii="Times New Roman" w:hAnsi="Times New Roman" w:cs="Times New Roman"/>
        </w:rPr>
        <w:t>第三节 加强文化遗产保护和开发</w:t>
      </w:r>
      <w:bookmarkEnd w:id="6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本着文物“保护为主、抢救第一、合理利用、加强管理”的方针，积极开展全国重点文物保护单位、省级、州级文物保护单位的申报项目储备、勘察和研究工作，加大文物保护单位修缮力度。强化对“元谋人”遗址、元谋古猿化石地点、大墩子遗址3个全国重点文物保护单位，元谋红军长征革命遗迹、为疆界滇.蜀各有攸分等事碑（含民事判决记碑）2个省级文物保护单位，安龙寺、活佛寺、下棋柳新石器遗址、卡莫摩崖石刻等4个州级文物保护单位以及县级文物保护单位的保护和利用。加强江边龙街、元马大乌头禾红军标语、姜驿红军树标语和红军佯渡金沙江架浮桥遗址、金沙江北岸张爱萍率部阻击战旧址、白酒坡红军阻击战旧址、勐冈河东红军遇难遗址、龙街渡等资源保护，深挖革命遗址文化内涵，积极推进元谋县红军长征国家文化公园建设。</w:t>
      </w:r>
    </w:p>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64" w:name="_Toc1418006615_WPSOffice_Level1"/>
      <w:r>
        <w:rPr>
          <w:rFonts w:hint="default" w:ascii="Times New Roman" w:hAnsi="Times New Roman" w:cs="Times New Roman"/>
        </w:rPr>
        <w:t>第五章 打造全国知名康养休闲胜地</w:t>
      </w:r>
      <w:bookmarkEnd w:id="64"/>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紧扣元谋“干热、历史、民族、绿色、美丽”五大特点，抢抓全省大滇西旅游环线和州委打造文化旅游“四大走廊”战略部署机遇，从优化存量、培育增量两个维度发力，深入实施全域旅游、文旅融合发展、国际化高端化特色化智慧化三大战略，大力推进“旅游革命”和“一部手机游云南”建设，重点培育壮大“文化+旅游”和“康养+旅游”两条产业链，全力推动产业融合发展，全面推进“旅游革命”和旅游业转型升级，努力推动旅游业高质量发展，打造全国知名旅游康养休闲胜地。</w:t>
      </w: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65" w:name="_Toc104287530_WPSOffice_Level2"/>
      <w:r>
        <w:rPr>
          <w:rFonts w:hint="default" w:ascii="Times New Roman" w:hAnsi="Times New Roman" w:cs="Times New Roman"/>
        </w:rPr>
        <w:t>第一节 加快发展文化旅游产业</w:t>
      </w:r>
      <w:bookmarkEnd w:id="6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1.构建全域旅游发展新格局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坚持以全域旅游为统筹，旅游革命为抓手，高质量发展为主线，按照全域资源要素整合、全域空间整体优化、全域产业融合联动、全时全季覆盖拓展、全社会共建共享的发展模式，统筹旅游资源、交通区位等优势，加快完善县城及周边基础设施，构建“一心、四片、两廊带”全域旅游发展格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一心”：以元谋县城为中心，以打造国家园林城市、国家卫生城市、国家旅游休闲示范城市为目标，以“元谋人”远古文化为灵魂，以健康养生旅游为重点，加快县城及周边基础设施建设，建设以元谋人历史文化旅游区、元谋果蔬艺术小镇、凤凰湖公园、元谋人博物馆、元谋县城市旅游集散中心、龙川江滨江游憩带、元马古镇、傈僳族第一村等重点项目，改造提升老城区环境，增强要素集聚发展能力，提升综合服务功能，着力打造旅游休闲中心和游客集散中心，带动全县文化旅游产业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四片”：做大“中部文化旅游康养旅游片区、北部金沙江峡谷旅游片区、西部元谋土林旅游片区、东南部民族风情旅游片区”四大旅游片区。中部文化旅游康养片区：以元马镇、黄瓜园镇、老城乡为重点，突出“元谋人”文化、生态农业、田园风光、和立体气候特色，建设以旅游休闲城市、元谋人历史文化旅游区、干热河谷植物园、热水塘康体养生度假区、休闲农业等为重点的文化康养旅游片区。北部金沙江峡谷旅游片区：以江边乡、姜驿乡为重点，突出金沙江峡谷风光、高峡出平湖景观和恐龙遗址文化特色，建设以金沙湖旅游度假区、龙街红色旅游景区、姜驿恐龙化石点探秘区、红色旅游特色小镇、民族旅游特色村等为重点的金沙江峡谷旅游片区。西部元谋土林旅游片区：以物茂乡、平田乡、新华乡为重点，突出独特的土林奇观、湖泊河域风光、休闲农业等特色，建设以物茂土林景区、浪巴铺土林景区、河尾水库休闲度假区、蜻蛉河水景旅游区、班果土林生态农业游憩带、旅游特色小镇和特色村等为重点的元谋土林旅游片区。东南部民族风情旅游片区：以凉山乡、羊街镇为重点，突出民族文化旅游区、彝族苗族文化、古村落和农业产业等特色，建设以彝苗风情体验、传统村落休闲、休闲农业和乡村旅游为重点的民族风情旅游片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两廊带”：做特“名胜景观旅游廊带、田园风光旅游廊带”两条旅游走廊，构建全县旅游精品环线。名胜景观旅游廊带：以“元谋人”世界公园、“元谋人”遗址公园、元马古镇、元谋土林、元谋凉山彝族传统文化保护区、元谋傈僳族第一村、瓦渣箐彝族风情园、金沙湖旅游区、云南元谋红军长征国家文化公园、凤凰湖公园、凤仪公园、滨江休闲长廊等重大重点项目和产业集群为支撑，加快规划建设一批具有复合业态、功能齐全的全域旅游综合体，着力打造一批考古探险体验、特色旅游村寨、美丽宜居乡村、休闲度假旅游、养生养老服务、绿色生态农庄、影视拍摄制作等为依托的旅游产品体系，着力打造名胜景观旅游廊带。田园风光旅游廊带：推进元谋热带植物园、果蔬艺术小镇、瓦渣箐彝人花海、小丙岭农业科技示范观光园、平田果蔬采摘园、雷丁生态旅游示范村等项目建设，打造集田园观光游览、果蔬采摘体验、户外运动、养生度假、自驾旅游、休闲农业和乡村旅游等为一体的田园风光旅游廊带。</w:t>
      </w: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66" w:name="_Toc1775275953_WPSOffice_Level2"/>
      <w:r>
        <w:rPr>
          <w:rFonts w:hint="default" w:ascii="Times New Roman" w:hAnsi="Times New Roman" w:cs="Times New Roman"/>
        </w:rPr>
        <w:t>第二节 夯实旅游业高质量发展新基础</w:t>
      </w:r>
      <w:bookmarkEnd w:id="66"/>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1.突出品牌旅游目的地建设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围绕云南省特色旅游城市、旅游强县、旅游名镇和旅游名村创建标准和要求，结合“美丽县城”建设，着力打造云南省特色旅游城市、云南省旅游强县。到2025年，全县创建品牌旅游目的地24个：4A级以上旅游景区1个，3A级景区4个，旅游度假区1个，高星级酒店4个，旅游名镇4个，旅游名村8个，积极创建特色旅游城市和旅游强县，提高元谋的吸引力和品牌影响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建设提升和创建一批国家高A级旅游景区。提升改造元谋土林老景区，配套完善元马古镇、小丙岭农业科技示范观光园、元谋县红军横渡金沙江渡口景区旅游要素，着力打造一批精品旅游景区，启动元谋土林、元谋人世界公园5A级景区创建工作，力争通过3-5年努力，将元谋土林、元谋人世界公园创建为国家5A级景区；将元马古镇、小丙岭农业科技示范观光园、红军长征纪念馆、元谋傈僳族第一村创建为国家3A级旅游景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建设创建一批旅游度假区。加快推动国家级和省级旅游度假区创建工作，加快推进元谋人世界公园提升和完善，启动实施金沙湖旅游区项目。到2025年，力争将“元谋人”世界公园创建为省级旅游度假区。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建设一批“旅游+”特色小镇。加快推进城旅融合，依托特色小镇建设，强化旅游要素和功能，以旅游服务设施完善、区域旅游功能完备、旅游业态及要素配置合理、公共服务体系健全、环境卫生整洁、文化特色鲜明、通达条件便捷为建设目标，重点建设“元谋人”远古小镇、元马古镇、平田生态农业观光采摘旅游小镇等文化旅游型特色小镇，全面构建集历史文化寻访、民族文化体验、农业休闲观光、康养度假旅居等为一体的旅游城镇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建设提升一批高星级酒店、精品旅游饭店和旅游民宿。加强统筹规划，大力发展休闲度假酒店，合理发展商务酒店和经济型酒店，引导发展旅游民宿和精品旅游饭店等住宿设施品牌。综合开发利用地热温泉、山地森林、河湖湿地等资源，结合地方民族文化特色和乡村田园风光，以度假环境营造、度假载体融入、休闲项目配套、生活方式构建及运营模式设计为支撑，围绕旅游度假区、A级旅游景区、生态旅游景区及特色旅游村寨进行项目布局，加快推进星级酒店和旅游民宿发展。围绕“建酒店、树品牌、创特色、抓服务”等关键环节，通过积极引进国际国内酒店知名品牌和培育本土品牌，在全县逐步形成布局合理、结构优化、设施完备、服务优良、环境优美、国际化程度高且具有元谋特色的酒店住宿业发展格局。新建和改造提升4个星级酒店、6家云南省精品旅游饭店和12家云南省旅游民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2.突出文旅融合新业态新产品培育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着力抓好“十个一批”文旅融合新业态新产品，推动实现旅游业“一业兴百业旺”乘数效应。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建设一批康养度假旅游项目。促进旅游与健康医疗和中彝医药产业、森林康养产业融合，大力发展健康养生、养老旅游、温泉养生度假、医疗旅游、美容保健等旅游新产品。充分利用温泉资源、绿色食品资源发展温泉养生、康体疗养；积极开发生物医药旅游、彝医药养生养老旅游等大健康旅游新业态产品，努力把健康养生旅游培育成为文化旅游产业的新品牌和新亮点，建成1家康养旅游示范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建设一批文旅融合项目。推进旅游与文化深度融合，重点规划建设和提升一批文化旅游精品景区，深度开发一批集体验性、参与性、娱乐性、教育性为一体的文化产业创意园、主题游乐园，建设具有元谋民族文化特色的城市旅游综合体、历史文化街区、休闲娱乐中心、旅游购物场所等。深度发掘民族文化资源，加快培育以文物保护单位、博物馆、非物质文化遗产保护利用设施和实践活动为支撑的体验旅游、研学旅行和传统村落休闲旅游。依托丰富的红色旅游资源，依托元谋县龙街红军横渡金沙江渡口红色旅游景区提升改造，重点打造红军长征国家文化公园建设项目，培育串联北部中心（县城旅游休闲中心）、两片区（北部金沙江峡谷旅游片区、中部文化旅游康养片区）的旅游景区、旅游小镇、旅游特色村和产业融合项目，形成以红色旅游休闲度假为主题，集红色文化旅游、滨湖养生度假、文物科考科普、历史文化寻访、休闲农业和乡村旅游为一体的旅游走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建设一批半山酒店和地中海俱乐部式项目。依托元谋山地资源和地形地貌，充分挖掘利用元谋人文化、金沙江峡谷风光、土林资源、温泉、水体、田园风光、农耕文化等资源，选址于半山风景优美区域，以“高端住宿+旅游营地”为主要特色，加大项目策划和招商引资力度，加快推进“元谋人”世界公园云顶半山酒店，重点规划建设腾飞自驾车运动营地主题酒店、元谋浪巴铺土林半山酒店，按照所有权和经营权分离原则，引进有实力、有情怀的投资业主和国际知名品牌管理公司参与投资开发和经营管理，提升半山酒店美誉度和影响力。探索引进与地中海俱乐部式项目合作模式，打造高端休闲度假品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建设一批体育旅游项目。充分发挥全县独特的区位、交通、气候、海拔高差等优势，积极打造15分钟健身圈，加大体育场馆建设力度，提升城市旅游品味；充分发挥传统体育项目优势，做大做强“冬季体育旅游竞性基地”，以体育品牌效应促进体育旅游发展，促进体育运动与旅游融合，加快建设体育旅游产品。完善一批户外运动设施，规范发展徒步、马拉松、自行车、游泳、跆拳道等产品业态。积极培育具有民族特色和吸引力的体育旅游赛事活动，举办好中国元谋越野摩托车耐力赛，推出一批精品路线、精品项目和精品赛事。到2025年，力争打造1个体育旅游品牌赛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建设一批研学旅游项目。结合旅游营地、旅游景区、乡村旅游的建设发展，充分利用博物馆、文化馆、图书馆的场地设施，着力打造一批主题特色鲜明、教育功能完善、示范作用明显的研学旅游目的地。加大产品的设计开发，加快形成在校学生广泛参与、活动品质持续提升、文化氛围健康向上的研学旅游发展体系。着力推进元谋土林、元谋红军长征纪念馆、“元谋人”世界公园等研学旅行基地（营地）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建设一批汽车旅游营地和自驾旅游线路项目。加快布局和建设一批目的地型营地、主题型营地、服务型营地和微营地。重点建设“元谋人”世界公园目的地型房车营地，2个主题型营地，1个交通服务型营地，2个微营地。建设元谋土林徒步旅游线路。积极培育精品旅游线路和旅游环线，按照连点成线、连线成圈的旅游线路发展规律，以县内高速公路、国省干线公路、重点旅游区、旅游城镇和旅游特色村等为依托，着力打造具有独特性和唯一性旅游大环线，合力构建滇中旅游圈，有效融入大滇西旅游环线，统筹推进1条精品自驾旅游线路建设，积极建设2条徒步旅游线路。到2025年，在全县规划建设7个汽车旅游营地，基本覆盖县内主要自驾旅游线路，初步形成布局合理、管理规范、功能齐全、配套完善的自驾旅游产品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建设一批游乐项目。结合家庭化消费趋势和场景化体验需求，从硬件设施和软件服务方面入手，积极引进国内知名主题游乐品牌，加快推进“元谋人”世界公园游乐子项目建设。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建设一批文博遗产旅游业新态新产品。突出世界级、高品位的“元谋人”文化遗产资源优势，围绕元谋人世界公园、元谋人遗址公园、元谋人博物馆、姜驿恐龙文化探秘区，重点打造集科学研究、科普教育、旅游功能于一体的大型户外沉浸式远古世界研学游乐项目，打造世界级遗产旅游品牌。推动区域性文物资源整合和合理利用，扩大文物资源开放度，重点推动以“元谋人”和“红色文化”为核心，以元谋人世界公园、元谋人遗址公园、红军长征元谋纪念馆为文化旅游景观廊道建设，打造集红色文化保护传承、主题教育、研学旅游等多功能为一体的红色文化旅游区。借助元谋人博物馆藏品陈列展示、科普教育、会议培训等功能，培育打造文博旅游新产品。积极扶持乡村业余文艺队发展，加强对传统手工艺人、非物质文化遗产传承人培养，保护和传承元谋花灯等非物质文化遗产，推出一批主题鲜明的非遗旅游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建设一批文创演艺旅游新业态新产品。以体现“元谋人”远古文化为主题，集合元谋花灯、民族歌舞等，抓住现代人追求古代穿越的消费心理，充分应用现代高科技舞台技术，精心创作打造“元谋远古穿越情”文化演艺产品。打造大型实景演出《红军树》，展现红军革命历史，传承革命精神，表述水电移民历程，展现民俗风情美好生活。开发文创产品，融入“元谋人”“花灯”“元谋土林”“石器时代文物”等元素，发展具有元谋特色文创产品产业链。每个节假日在景区开展文艺展演，让游客在欢乐的气氛中放松心身，感受元谋独有的民族魅力。利用“旅交会”等国际化、高端化的展会平台，发挥主场优势，借势造势，通过元谋文化旅游形象展示、文化旅游招商、文旅商品展销、民族歌舞展演等形式，以“文旅融合，美好生活”为目标，力争在文化旅游招商、文化旅游宣传等方面有新成效，进一步提升“东方人类故乡 冬早蔬菜之乡 绿色康养之乡”三张名片的影响力，积极探索“文化+科技+创意+旅游”融合发展模式，加快发展文创演艺旅游新业态新产品。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建设一批文化娱乐旅游新业态新产品。推动文化市场行业转型升级，提高行业服务水平。鼓励互联网上网服务和娱乐场所等行业探索多种业态和经营方式，改善行业环境，优化行业服务，提升行业整体形象，推动上网服务行业转型升级并发展成为具有现代管理水平的服务行业。积极应用现代人工智能、沉浸式3D、VR交互动漫技术等，打造新型健康的文化旅游主题公园，在已建元谋人博物馆基础上，结合元谋人文化园建设，丰富完善元谋人、恐龙、古猿化石等远古文化展示内容，推动元谋人文化园项目猿人动漫主题园、恐龙化石及古生物化石树主题园建设。重点推进元谋人世界公园冰雪大世界、金沙湖旅游区项目水韵文化体验区建设，提升改造元谋土林影视拍摄基地，培育打造一批主题原创、实景体验、健康文明、参与性强、寓教于乐的文化娱乐精品。创新节庆活动组织方式，策划一批高水平民族文化节庆活动。完善提升城镇、景区、酒店的文化娱乐设施，发展多姿多彩的酒吧、茶室、视听、网吧等文化娱乐活动，着力打造健康文明、类型多样、功能完善、参与性强的文化娱乐旅游新业态新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3.突出建设提升传统旅游业态新产品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提升传统老旧景区。实施传统景区景点改造提升工程，提升改造元谋土林老景区，配套完善元马古镇、小丙岭农业科技示范观光园、元谋县红军横渡金沙江渡口景区旅游要素，着力打造一批精品旅游景区，启动国家5A级旅游景区创建工作。全方位提升改造元谋人世界公园软硬件设施，达到创建省级旅游示范区标准，推动游客从“旅途”到“旅游”到“旅居”的转型升级。以景区为吸引核，依托其生态资源、优美环境及大量客源，在外围形成一个休闲聚集区，并聚集酒店、餐饮、商贸、运动、会议等各种业态，形成产业积聚，带动大面积区域的开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发展水电生态旅游新业态新产品。积极融入国家长江经济带发展战略，建设元谋金沙湖旅游区，依托乌东德电站建设形成的湖中岛优势和已建基础，建设红军长征元谋纪念馆。结合元谋金沙湖旅游区建设，着力打造中国·元谋金沙湖水上龙舟赛事品牌。发展集电站观光、水上特种运动、水韵文化体验、红色文化体验、峡谷穿越探险、湖畔水乡风情、滨湖康养度假为一体的水电旅游新业态新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拓展城镇文旅业态产品新空间。积极争创云南省旅游名镇、旅游名村，结合“美丽县城”建设，着力打造云南省特色旅游城市、云南省旅游强县。重点建设“元谋人”远古小镇、元马古镇、平田生态农业观光采摘旅游小镇、金沙湖旅游风情小镇、元谋果蔬艺术小镇等文化旅游型特色小镇，全面构建集历史文化寻访、民族文化体验、农业休闲观光、康养度假旅居等为一体的旅游城镇体系。加强城镇旅游基础设施建设，稳步推进元谋县城市旅游集散中心项目建设，打造集文创商店、特色书店、演艺剧场、文化娱乐场所、夜间文旅消费等多业态文化旅游消费空间，不断扩展城镇文旅深度和广度，在满足需要的同时带动乡村旅游的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提升观光游览业态产品新内涵。在保护好旅游景区优美自然景观基础上，结合旅游景观开发和旅游设施建设，进一步提高旅游景观、旅游设施的美观度与环境融合性，强化资源综合利用，发展旅游循环经济，努力营造自然和谐、优美舒适的旅游景区环境和氛围。加快推动物茂土林、浪巴铺土林、元谋人博物馆、凤凰湖公园、元谋人世界公园几个传统景区改造提升，进一步整合资源要素、挖掘文化内涵，推动非遗文化进景区，增强景区现代科技应用能力，提升传统景区文化内涵，提升智慧化水平，丰富观光游览内容，推动传统景区从单观光型向复合型集聚发展转型升级。配套完善元马古镇、小丙岭农业科技示范观光园、元谋县红军横渡金沙江渡口景区旅游要素，着力打造一批精品旅游景区，丰富景区内体验设施，强化观光游览业态产品核心竞争力，吸引更多的国内外游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4.推进乡村与旅游融合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推进旅游与巩固拓展脱贫攻坚、乡村振兴深度融合，结合美丽乡村建设，以乡村休闲、农事体验、农家乐、特色种养殖等乡村旅游产品为载体，加速传统农业的生态转型，按照“突出生态优先、彰显地域特色、聚焦都市需求、植入游憩活动”的导向，挖掘农业的生态、科技、健康、休闲等价值，打造森林康养、田园度假、共享农庄、康体养生、生态游憩、乡土游乐、农耕体验、研学科普、农业嘉年华等休闲业态和有机农业、智慧农业、艺术农业、亲子农业、养老农业等功能农业，建设提升一批特色旅游村，建设一批乡村旅游项目和品牌农家乐。优选一批旅游资源禀赋高、交通便捷、公共服务设施较为完善的自然村，突出乡村观光体验、休闲度假功能，重点提升和建设黄瓜园镇雷丁村、羊街镇羊街村、元马镇大沟社区等8个旅游名村；建设元谋县凤凰山特色农业产业观光园、元谋县金雷生态农庄、元谋县普登田园综合体及“特色民宿”等4个乡村旅游项目；提升和建设12家品牌示范农家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5.推进工业与旅游融合发展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充分挖掘现存的、资源枯竭型的，改革改制关闭停产的工业遗存，对已停产的元谋尹地水泥厂进行加固和升级改造，结合周边凤凰花景观以及风土人情，将其打造为具有文化气息的工业旅游景区，以“记忆”为魂魄装点元谋尹地水泥厂，让元谋尹地水泥厂成为元谋的时代记忆，将其建设为一个集“工业文化旅游”、“科普教育”、“人文历史记录”以及“时代发展展示”为一体的文化旅游项目。</w:t>
      </w: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67" w:name="_Toc165971942_WPSOffice_Level2"/>
      <w:r>
        <w:rPr>
          <w:rFonts w:hint="default" w:ascii="Times New Roman" w:hAnsi="Times New Roman" w:cs="Times New Roman"/>
        </w:rPr>
        <w:t>第三节 加快发展绿色康养产业</w:t>
      </w:r>
      <w:bookmarkEnd w:id="6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依托元谋便利交通区位及“八度禀赋”（温度、纬度、高度、洁净度、湿度、优产度、便利度、潜力度）优势，围绕“医药养食游”等重点领域，推动农业、医疗、养老、养生、文化、旅游、食品、体育等多业态深度融合发展，努力将元谋打造成世界一流健康生活目的地和全省绿色产业创新及健康养老养生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1.发展健康养生产业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以医疗、康复、保健、养生为重点，鼓励支持社会力量兴办中医养生、医养结合及老年康复护理等专业医疗机构，提高“养体养心”医疗健康服务。支持县内医疗机构大力拓展健康管理产业链条，引进国际国内前沿医疗技术和康复机构，建设康复疗养中心和健康管理中心，开发健康体检、康复护理、整形美容、保健食药品等新产品。积极发展彝医彝药、苗药等为重点的中医药产品，开发研制推出一批防病抗衰老养生药膳和保健产品，探索建立适应医疗科研、医疗服务、健康养生产业融合创新发展的制度体系，逐步形成涵盖“医疗、预防、养生、保健、康复”全链条的保健服务模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2.发展健康旅游产业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以健康养生养老、休闲旅游为核心，积极开发户外康体旅游、健康疗养旅游、中医药养生旅游，规划建设一批集创意、博览、休闲、养生、养老等功能于一体的文化旅游康养功能板块，形成以食疗养生、生态养生、气候养生为主，养生产品为辅的健康餐饮、休闲娱乐、养生度假等功能集聚的康养休闲旅游胜地。积极发展康养会展经济，引导房地产企业开发以温泉度假、养生度假、避寒度假、商务会务、生态宜居等功能于一体的康养地产，加强康养小镇创建和建设，支持企业建设高端康养会议场所和展会活动平台，将元谋打造成为全省的康养会议之都，着力打造滇中最具特色的康养度假胜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3.发展健身休闲产业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综合利用元谋独特的地形地貌和“暖冬”气候，以登山、滑翔伞、重走长征路、山地自行车（摩托车、越野车）、滑翔伞、冬季马拉松、徒步走、彝族摔跤赛、金沙江探险漂流赛、古遗址考古探奇、沙滩足球等户外健身运动为重点，建设提升元谋老城乡马头山滑翔机低空飞行体验项目，持续推进元谋人世界公园高空玻璃吊桥、高空玻璃滑道、高空玻璃漂流、七彩滑道等项目配套设施建设，积极培育具有民族特色和吸引力的体育旅游赛事活动，举办好中国元谋越野摩托车耐力赛，打造以中国元谋·元谋金沙湖水上龙舟赛为重点的国际品牌赛事等为重点的国际品牌赛事，形成体育旅游新亮点，吸引更多的国内外体育运动爱好者和旅游者。推动一批精品线路和服务自驾游营地建设，提高康养体育健身知名度和影响力。大力推进大众体育健身基础设施建设，结合智慧城市、绿色出行，建成4个以上体育休闲中心和4条以上健身休闲步道，争取建设一批高标准运动场馆，积极申报举办一批国家和省州级的高水平运动赛事和全民健身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4.发展养老产业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充分调动社会力量兴办养老机构的积极性和创造性，规划建设一批健身养老基地、幸福公寓园、康养休闲养老养生综合体等康养休闲项目，依托凤凰山颐养中心、幸福国康等养老机构，将医疗、气候、生态、康复、休闲等多种元素融入养老产业，开展适宜老年人群的文化娱乐、体育健身、教育培训、休闲旅游、精神慰藉等特色服务。积极开发乡村养老、农家养老、田园养老等养老新模式，面向全国提供养老养生服务。建设新华养生休闲小镇、凤凰养生养老度假基地、温泉水世界等养生养老设施。开发养生养老用品，主动迎合生态休闲养生养老的需求，研发保健食品、老年服装、护理用品、生活用具、娱乐器械、益智玩具等生态休闲养生养老产品，逐步形成中老年生活辅具制造基地、中老年保健品生产基地、中老年文化用品生产基地、养生养老产品展销集散基地等，逐步将元谋打造成为区域特色鲜明的养老养生用品制造中心。</w:t>
      </w:r>
    </w:p>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68" w:name="_Toc712333312_WPSOffice_Level1"/>
      <w:r>
        <w:rPr>
          <w:rFonts w:hint="default" w:ascii="Times New Roman" w:hAnsi="Times New Roman" w:cs="Times New Roman"/>
        </w:rPr>
        <w:t>第六章 培育精品  丰富文化产品服务</w:t>
      </w:r>
      <w:bookmarkEnd w:id="68"/>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69" w:name="_Toc1808215313_WPSOffice_Level2"/>
      <w:r>
        <w:rPr>
          <w:rFonts w:hint="default" w:ascii="Times New Roman" w:hAnsi="Times New Roman" w:cs="Times New Roman"/>
        </w:rPr>
        <w:t>第一节 讲好“元谋故事”创作文化艺术精品</w:t>
      </w:r>
      <w:bookmarkEnd w:id="6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1.发展优秀戏曲曲艺、民族民间传统文化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坚持社会主义先进文化前进方向，传承发展中华优秀传统文化，创新文化传播方式，开展丰富多样的文化活动，讲好“元谋故事”，做实公共文化服务，助力文化高质量发展。</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rPr>
      </w:pPr>
      <w:r>
        <w:rPr>
          <w:rFonts w:hint="default" w:ascii="Times New Roman" w:hAnsi="Times New Roman" w:eastAsia="仿宋_GB2312" w:cs="Times New Roman"/>
        </w:rPr>
        <w:t>加大国家级非物质文化遗产“元谋花灯”保护传承力度，举办元谋花灯艺术节暨农村文艺汇演，增强交流，提升水平；邀请省、州专家参加开展元谋花灯保护传承研讨会，实现传承保护和发展相结合；加大对传统曲艺、民族民间传统文化发展，突出元谋特色，对元谋传统花灯、曲艺、民族音、舞蹈、民间文学等材料进行收集、整理、归档，对有价值的争取出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2.大力实施文艺精品创作工程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整合传统文化资源、提炼文化元素、创新文化形象、融入现代理念、进行时尚包装，打造区域文化品牌，形象赢得效益。扶持重点舞台艺术精品。选定一批优秀传统花灯剧（节）目作为舞台艺术精品进行打造，成为我县的文化名片，增强元谋的知名度和美誉度。鼓励文化企业、旅游企业开展舞台文化艺术项目投资。加大文艺精品创作力度。发动元谋本土创作人才，积极创作花灯小戏、小彝剧、花灯歌舞、舞蹈、歌曲、戏剧、曲艺等形式多样的文艺精品，在景区、景点、城乡、山区、校园等进行展示、展演，积极推进文化旅游高度融合。充分发挥节庆演绎引爆、助推作用，提升元谋“东方人类故乡 冬早蔬菜之乡 绿色康养之乡”品牌知名度、影响力及吸引力。扩大对外文化交流。承办州内外大型文化活动，加大优秀剧目的学习交流，积极参加非物质文化遗产展演等文化艺术活动，打造元谋县对外文化交流活动品牌，扩大文化的影响力，建立文化交流长效机制</w:t>
      </w: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70" w:name="_Toc565093001_WPSOffice_Level2"/>
      <w:r>
        <w:rPr>
          <w:rFonts w:hint="default" w:ascii="Times New Roman" w:hAnsi="Times New Roman" w:cs="Times New Roman"/>
        </w:rPr>
        <w:t>第二节 融入国家落工程，打造红色文化精品</w:t>
      </w:r>
      <w:bookmarkEnd w:id="7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1.全力打造红军长征国家文化公园（元谋段）元谋龙街渡项目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按照红军岛、棋盘山、红军小镇三个方面的内容，主要围绕金沙江战役引入新的科学技术作为展示纪念的手段，增加展陈互动性、体验性、趣味性，提升红色内涵，对红军长征纪念馆进行提升，建设棋盘山战斗遗址园，以雕塑、浮雕墙、艺术装置、小型体验设施等形式，将金沙江战役的重要节点和事件以故事解说或场景再现的方式予以展现，建设“巧渡金沙江”红色文化体验园，在红军小镇建设入口服务区、文创商业街、沉浸式战斗实景舞台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2.积极创建红色教育重要基地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学习借鉴井冈山等全国红色教育基地的经验与做法，加强与先进地区的联系、合作，同时加强与全国红色文化研究、红色教育有关团体及机构的联系与合作。邀请省内知名专家、学者来元谋举办红色文化论坛，结合元谋实际研究讨论红色文化。认真举办红色文化演讲大赛（包括元谋红色文化导游词演讲赛），让全国红色文化精英关注元谋，聚焦元谋。创造条件积极开办红色教育培训活动，力争成为州内红色教育重要培训基地。努力探索民族文化与红色文化相结合、旅游胜地建设与红色教育基地相结合的创新发展之路，让元谋成为文化旅游推动发展红色教育的典范。</w:t>
      </w: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71" w:name="_Toc523124815_WPSOffice_Level2"/>
      <w:r>
        <w:rPr>
          <w:rFonts w:hint="default" w:ascii="Times New Roman" w:hAnsi="Times New Roman" w:cs="Times New Roman"/>
        </w:rPr>
        <w:t>第三节 加强文物保护利用，培育文博精品</w:t>
      </w:r>
      <w:bookmarkEnd w:id="7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1.加强重点文物保护和修缮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按照文物保护属地管理原则，贯彻落实国家有关加强文物保护、利用等政策和要求，强化文物安全监管责任和综合考评制度，建立健全文物安全长效机制、资源资产管理机制、不可移动文物保护机制，加强对国保省保重点文物单位的有效保护，完善革命文物保护传承体系，推进重大基本建设工程文物保护工作等。推动文物科学合理利用，加强重点文物的保护性修缮，实施珍贵文物保护修复工程，加大对重点历史文化线路的文化遗产价值研究力度，激发博物馆创新活力，传播和推广文物价值，丰富中华文明标识的云南内容，促进文物市场有序发展。开展文物执法督察，建立健全对珍贵文物的日常巡查制度，健全完善社会参与机制，加强文博行业的科技支撑，推进文物保护、修复规范化和常态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2.打造特色文博精品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推进文物和旅游融合发展，重点推进元谋人博物馆提升改造，增加VR、AR智慧化体验内容，在原有7个展厅的基础上增设青铜文化展厅，对金沙江乌东德水电站抢救性发掘青铜文物进行陈列布展。</w:t>
      </w:r>
    </w:p>
    <w:p>
      <w:pPr>
        <w:pStyle w:val="4"/>
        <w:keepNext w:val="0"/>
        <w:keepLines w:val="0"/>
        <w:pageBreakBefore w:val="0"/>
        <w:widowControl w:val="0"/>
        <w:kinsoku/>
        <w:wordWrap/>
        <w:overflowPunct/>
        <w:topLinePunct w:val="0"/>
        <w:autoSpaceDE/>
        <w:autoSpaceDN/>
        <w:bidi w:val="0"/>
        <w:adjustRightInd/>
        <w:snapToGrid/>
        <w:spacing w:beforeLines="0" w:afterLines="0" w:line="580" w:lineRule="exact"/>
        <w:textAlignment w:val="auto"/>
        <w:rPr>
          <w:rFonts w:hint="default" w:ascii="Times New Roman" w:hAnsi="Times New Roman" w:cs="Times New Roman"/>
        </w:rPr>
      </w:pPr>
      <w:bookmarkStart w:id="72" w:name="_Toc1289147516_WPSOffice_Level2"/>
      <w:r>
        <w:rPr>
          <w:rFonts w:hint="default" w:ascii="Times New Roman" w:hAnsi="Times New Roman" w:cs="Times New Roman"/>
        </w:rPr>
        <w:t>第四节 推动非遗保护传承，培育非遗文化精品</w:t>
      </w:r>
      <w:bookmarkEnd w:id="7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1.非物质文化遗产机构建设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建立专门的非物质文化遗产保护机构，建立专业人才队伍培训机制，大力培养非物质文化遗产保护和管理所需的专业人才；有计划地对现有文化馆在职人员进行培训,做到经常化、制度化,形成一支专职的保护队伍；与各单位加强交流保护经验,使工作人员能更加全面、高效的开展保护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2.科学规划，构建全民保护格局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健全合力推进体系，推动各级政府加大对非遗保护的资金投入，鼓励社会资本对非遗保护的投入，推动非遗保护社会化等；加强非遗项目和传承人申报管理,积极开展各级非遗保护名录的申报工作，推动民族文化的挖掘、整理、修复、归档和展示;加强非遗传承人的年度考核工作;举办国家、省、州、县级非遗项目代表性传承人业务培训班;坚持“政府主导、社会参与”的原则，构建全方位、多层次、宽领域的保护格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3.健全宣传推广体系，运用多种形式宣传推广非遗保护成果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运用新媒体展示技艺、展销产品，不断弘扬和展示非遗成果，提升元谋非遗文化的影响力和知名度；通过果蔬文化旅游节、彝族火把节、苗族花山节、傈僳族阔时节、新华桃李节、姜驿蜜桃节等民族传统节庆文化活动，开展内容丰富、形式多样、特色鲜明的非遗展示、展演、展销和体验活动，重点扶持打造一批民族民间优秀剧目、非遗剧目，推出如《元谋花灯》《傈僳古歌》《阿鲁举热》《芦笙舞》《大刀舞》对外交流演出；积极开展非遗进学校、进社区、进农村活动，建设一批传统技艺非遗传习所；根据元谋地域特色、文化风格和资源特点，将非遗宣传展示活动与旅游工作有机结合，促进文化和旅游融合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4.加强政策保障，着力扶持重点项目传承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积极发挥政府在培育非遗生产性项目中的主导作用。完善保护经费补助办法，加大对濒危项目、自身发展困难的传承单位的保障。条件成熟时，设立非遗保护社会基金，积极争取社会各界的广泛参与，将拥有广泛群众基础的项目作为深入挖掘的重点，进行深度征集、挖掘、整理、推介，提升知名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5.推进成果转化，着力助推特色品牌提升</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实施元谋花灯“二次复兴”工程，全县恢复、组建传统灯社，培养骨干演员，计划全县恢复、组建20个传统花灯戏社团组织，创作、改编20个精品花灯剧目（曲目），培养30名骨干演员。积极创编精品节目，恢复濒临失传的传统优秀曲目。编撰非遗系列丛书，开发乡土非遗教材。</w:t>
      </w:r>
    </w:p>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w w:val="90"/>
        </w:rPr>
      </w:pPr>
      <w:bookmarkStart w:id="73" w:name="_Toc2144375267_WPSOffice_Level1"/>
      <w:r>
        <w:rPr>
          <w:rFonts w:hint="default" w:ascii="Times New Roman" w:hAnsi="Times New Roman" w:cs="Times New Roman"/>
          <w:w w:val="90"/>
        </w:rPr>
        <w:t>第七章 增效赋能，强化数字化科技新驱动</w:t>
      </w:r>
      <w:bookmarkEnd w:id="73"/>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74" w:name="_Toc1541417605_WPSOffice_Level2"/>
      <w:r>
        <w:rPr>
          <w:rFonts w:hint="default" w:ascii="Times New Roman" w:hAnsi="Times New Roman" w:cs="Times New Roman"/>
        </w:rPr>
        <w:t>第一节 加强文旅数字化平台基础建设</w:t>
      </w:r>
      <w:bookmarkEnd w:id="74"/>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1.加强公共文化数字化基础建设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加强图书馆、文化馆、博物馆数字化建设。以“总分馆”为契机，加快图书馆、文化馆数字化建设，构建网络化、多终端、全媒体的数字服务体系。扩充数字信息资源存储、运行和管理设备，升级管理软件，提高系统的安全性、可靠性、稳定性，提升网络服务能力。不断加强信息服务系统的应用。建设数字化博物馆。通过博物馆提升改造，加快多媒体信息技术在博物馆陈列展示的应用，通过音频技术、影像技术、触摸屏技术、场景组合技术的应用，打破传统的静态展示，增加陈列展示的互动性与趣味性，充分利用互联网平台，完善网站相关工作，使之具有“云体验”的效果，扩大影响力。加大对藏品的信息管理，建设藏品数据库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2.推进智慧旅游数字基础建设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以“两新一重”项目建设、“一部手机游云南”为核心，突出抓好数字化网络化智能化，提升旅游智慧化水平。深入推进“一部手机游云南”体系建设。以“一部手机游云南”建设为抓手，进一步推动云计算、大数据、物联网、移动互联网、人工智能等新一代信息技术与旅游的深度融合，大力发展智慧旅游城市、智慧旅游景区、智慧旅游特色小镇、智慧旅游企业。积极推进智慧旅游信息化基础设施建设和数字化平台建设，衔接省、州的旅游大数据中心、旅游综合服务平台、旅游综合管理平台，推动传统旅游发展方式、管理模式、业务流程的优化和提升，推动全县城市景区资源和名景、名店、名馆、名品等资源全要素上线，实现直播、导游导览、扫码识景等平台功能在A级以上景区全覆盖，加快推进智慧厕所、智慧停车场无感支付等工作，为游客提供最全面、最权威、最方便的智慧化服务。加快智慧旅游基础设施建设。加快互联网基础设施建设，实现全县范围4G网络全覆盖，加快推动5G网络和WiFi建设，主要旅游目的地和重点旅游集散地WIFI信号全覆盖。到2025年，所有A级以上景区实现免费WIFI、智能导游、电子讲解、在线预订、信息推送等功能全覆盖。</w:t>
      </w: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75" w:name="_Toc313654822_WPSOffice_Level2"/>
      <w:r>
        <w:rPr>
          <w:rFonts w:hint="default" w:ascii="Times New Roman" w:hAnsi="Times New Roman" w:cs="Times New Roman"/>
        </w:rPr>
        <w:t>第二节 完善文旅数字化智慧化服务系统</w:t>
      </w:r>
      <w:bookmarkEnd w:id="7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1.完善公共文化数字化服务体系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依托“文化云南云”文旅数字化，以公共文化服务数字化建设为重要抓手，以文化馆图书馆“总分馆”制建设，构建公共文化数字化建设。建设以县文化馆图书馆为总馆，10个乡镇综合文化站为分馆，77个村（社区）文化活动室为服务网点。打造以县级图书馆、文化馆为总馆,乡镇综合文化站为分馆,村(社区)综合性文化服务中心(文化活动室)为服务点的总分馆服务网络。建设文化馆实时大数据展示平台、公共文化一体机、综合业务管理平台-微信端、监控管理系统、人流量统计系统、显示屏等。县图书馆总馆在集群管理系统（interlib）的基础上，建设图书馆总分馆运营监控管理系统、人流量统计系统。各乡镇分馆建设公共文化一体机和人流量统计系统。充分利用“互联网+”技术加强数字化建设，将博物馆建设成为文化传承、科技赋能的综合性文化旅游体验地。通过图文并茂的方式讲述专业性知识使之具有普及性、趣味性、学术性。充分利用AR、VR信息化技术，建设服务平台，首先对大量文物数字资料进行梳理、整理、编辑，并将展示展品的介绍词录制成音频放入平台中，使群众获得更多的科普知识。其次邀请专家讲述藏品背后的故事，并录制成视频放入平台中，通过增强现实技术，让公众在博物馆看完展览后，激发求知欲望，甚至产生消费冲动，购买文物衍生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2.完善旅游业态智慧化服务体系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以“一部手机游云南”建设为契机，加快旅游业态数字化建设，加快推进旅游智慧交通、智慧景区、智慧城镇、智慧厕所等数字化服务发展。积极推进智慧旅游信息化基础设施建设和数字化平台建设，加快旅游数据与省州旅游大数据平台的衔接，获取游客在一机游上的门票、酒店、美食、机票等信息，与综合管控平台的相关数据进行一体化分析，使游客“游前”订购酒店等更加高效、便捷。争取在部分景区的主要公共场所实现无线网络全覆盖，建设数据中心、智慧厕所、智慧停车场、刷脸入园及在线服务、景区监控、智能导览、讲解等信息化系统，提升景区智慧化服务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3.建设文旅智慧化监管平台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建设智慧化监管平台，满足管理者的行业监管和数据统计、进行应急管理和旅游决策等需求。对景区主要进出口车（人）流量监测，主要路口人流量监测，酒店入住游客数量进行监测，使管理者可以通过平台监测到的景区人流量信息、视频实时监控、酒店、旅游行社信息、网评信息等及时了旅游市场动态，智慧化的进行数据统计，从而基于旅游市场的实时运行数据，对景区、酒店、旅行社、游客团队等市场业态进行动态化监管。智慧化监管平台还对客流量、景区运行、旅游投诉、网络舆情等方面进行监测，更便于处理公共安全的突发事件、信息预警与发布等问题，提高旅游业效率，更好的实现旅游应急管理和旅游决策。</w:t>
      </w: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76" w:name="_Toc344099094_WPSOffice_Level2"/>
      <w:r>
        <w:rPr>
          <w:rFonts w:hint="default" w:ascii="Times New Roman" w:hAnsi="Times New Roman" w:cs="Times New Roman"/>
        </w:rPr>
        <w:t>第三节 提升文旅智慧化互动服务功能</w:t>
      </w:r>
      <w:bookmarkEnd w:id="76"/>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1.提升文旅产品设计开发数字化水平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坚持创新驱动，加大数字化、智能化新技术应用，不断提升文旅产品开发、公业服务设计的数字化水平。在文旅产品开发和公共服务设计中，注重融入民族文化，提炼元谋人文化、非物质文化遗产符号、内容等，通过数字化创意设计和转化，融入文旅产品和公共服务中，促进元谋文化数字化传播与传承。坚持产学研融合，定期邀请数字化、智能化专家开展人员培训，加强业务人员的学习交流，提升业务能力及知识储备，提升创新能力，进而促进文旅产品设计和开发的数子化新颖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2.提升公共文化智慧化互动体验功能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以公共文化数字化服务体系建设为支撑，积极推进智慧博物馆进设，充分运用数字化、网络化、系统化、Ar等技术通过智慧服务、智慧保护、智慧管理等方式，将博物馆建设成为文化传承、科技赋能的综合性文化旅游体验地。拓展公共文化数字终端应用范围，加强与中小学教育单位合作，按照学生的不同需求，设计学校使用模式，将公共文化数字终端运用于学校教学及学生课外活动，丰富教育资源，带动教育产业的数字化发展。加强公共文化服务数字终端与群众的网络互动，通过微博、 微信公众号各类网络平台、多种形式展示与宣传元谋文化和旅游，加强与群众的沟通，及时反馈群众需要和建议，不断提升公共文化服务智慧化互动体验性和服务质量。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3.提升旅游智慧化互动体验服务功能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推动自驾游服务设施智慧化建设，为自驾游客提供线路定制、道路救援、医护救援、维修服务等旅游智慧交通互动服务。在全省“一部手机游云南”建设的指引下，加快A级景区与平台搭建智能导游导览系统，完善提升视频直播、信息发布、电子票务、 导游导览、智慧停车、智慧厕所、互动体验、电子讲解、在线预订、咨询投诉、紧急求助等智慧景区服务。推动景区引入电竞以及AR互动体验，打造景区独特的电竞氛围，提升景区互动功能。</w:t>
      </w:r>
    </w:p>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77" w:name="_Toc1345327761_WPSOffice_Level1"/>
      <w:r>
        <w:rPr>
          <w:rFonts w:hint="default" w:ascii="Times New Roman" w:hAnsi="Times New Roman" w:cs="Times New Roman"/>
        </w:rPr>
        <w:t>第八章 补短板 夯实基础</w:t>
      </w:r>
      <w:bookmarkEnd w:id="77"/>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78" w:name="_Toc95947961_WPSOffice_Level2"/>
      <w:r>
        <w:rPr>
          <w:rFonts w:hint="default" w:ascii="Times New Roman" w:hAnsi="Times New Roman" w:cs="Times New Roman"/>
        </w:rPr>
        <w:t>第一节 抓好旅游交通基础设施建设</w:t>
      </w:r>
      <w:bookmarkEnd w:id="7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认真落实交通运输部等六部门《关于促进交通运输与旅游融合发展的若干意见》，抓住全省建设大滇西旅游环线的机遇，加强与周边县市的合作，科学谋划一批重大旅游交通项目，切实加大对上争取力度，着力构建“外联快捷、内联顺畅、互联互通、安全高效”的全域旅游交通体系，为旅游业高质量发展提供坚实的基础支撑。规划建设旅游公路，打通断头线、开通风景线、组织好循环线。全面提升道路通达条件，建设与主干道的连接线，有效解决旅游交通“最后一公里”末端衔接问题，努力实现通往4A级以上景区公路的高等级化。加快高速公路建设，结合美丽公路建设，形成互联互通的全域旅游交通体系。推动旅游专线发展，实现4A级以上景区和重点乡村旅游点专线全覆盖；建立有利于居民和游客双方的公共交通系统，实现公共交通服务全覆盖。重点规划元谋县旅游环线公路建设项目以及元谋土林收费站至物茂土林4A级景区专线建设项目。</w:t>
      </w: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79" w:name="_Toc494917724_WPSOffice_Level2"/>
      <w:r>
        <w:rPr>
          <w:rFonts w:hint="default" w:ascii="Times New Roman" w:hAnsi="Times New Roman" w:cs="Times New Roman"/>
        </w:rPr>
        <w:t>第二节 增强旅游公共服务供给能力</w:t>
      </w:r>
      <w:bookmarkEnd w:id="7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1.加强旅游公共服务设施建设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结合全县旅游业发展目标和建设布局，加快推进旅游咨询服务中心、观景平台、旅游厕所、应急救援站、旅游公共标识等公共服务体系项目建设。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加快旅游集散和服务体系建设。加快建设旅游集散中心和旅游咨询服务中心，推动构建元谋县“旅游集散中心-旅游服务站-旅游服务点”三级旅游集散体系，在城区内建设一级旅游集散中心，在重点旅游乡镇建设二级旅游服务站，推进有条件的旅游特色村配套建设旅游服务点，为游客提供旅游交通集散换乘、旅游线路组织、旅游咨询、旅游管理、住宿接待、车辆服务、餐饮服务、医疗急救、休闲娱乐等服务，形成层次分明、覆盖面广的旅游集散和服务体系。到2025年，建设县城旅游集散中心，建设物茂土林、新华浪巴铺土林、“元谋人”世界公园3个二级旅游服务站，建设凤凰湖公园、小丙岭农业科技示范观光园、元谋傈僳族第一村3个旅游服务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加快观景平台建设。围绕精品自驾线路、风景道、景观徒步区域、景区景点，按照5km至30km的间距，结合特色景观带，兼顾停车休憩与观景服务功能，差异化布设观景台。到2025年，重点建设元谋土林、浪巴铺土林、“元谋人”世界公园3个示范性观景平台，马头山、凉山把世者等5个普通观景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建设提升旅游厕所。按照国家A级旅游厕所标准，在全县主要旅游城镇、游客聚集公共区域、主要乡村旅游点、旅游小镇、旅游景区（点）、旅游交通线路沿线，新建和提升改造1个3A级旅游厕所、10个2A级旅游厕所、6个A级旅游厕所，提高旅游厕所管理服务水平，实现旅游厕所“数量充足、质量达标、全域覆盖、管理有效、免费开放”的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建设应急救援服务体系。综合各级各类医院医疗设施、汽车修理厂以及景区内应急救援点，以高速公路应急救援体系、国省干线应急救援体系为补充，推动构建“应急救援中心－应急救援站－应急救援点”三级旅游安全体系，辐射覆盖旅游交通沿线、重要干线公路、游客集中区等重点区域，建成“安全旅游目的地”，加强应急救援中心的相应旅游安全与应急救援服务。重点建设1个一级救援中心，2个二级救援服务站，4个三级应急救援服务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完善旅游标识系统。按照国家旅游标识牌标准，在主要旅游交通道路、景区、观景台、小镇、特色村等线路和区域建设安装旅游标识标牌，线路标识系统采用国家标准符号和民族特色标识系统两类，为自驾游游客提供自驾游路线方向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建立汽车租赁网点。完善旅游租车服务，在火车站（动车站）、汽车站设立租车服务点，提供线上线下租车服务。到2025年，建设10个汽车租赁网点。</w:t>
      </w: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80" w:name="_Toc1473077201_WPSOffice_Level2"/>
      <w:r>
        <w:rPr>
          <w:rFonts w:hint="default" w:ascii="Times New Roman" w:hAnsi="Times New Roman" w:cs="Times New Roman"/>
        </w:rPr>
        <w:t>第三节  推动文旅公共服务设施融合</w:t>
      </w:r>
      <w:bookmarkEnd w:id="8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推动公共文化服务与旅游服务融合，在旅游公共服务设施建设改造中提升文化内涵，彰显元谋文化特色，构建主客共享的文化旅游新空间，丰富文化惠民工程服务功能和内涵。加快推进公共文化服务有效嵌入交通服务区、重点景区和旅游住宿，推动基层综合文化服务中心与旅游服务点有机融合，推进公共图书馆、文化馆、博物馆、非遗传习场所与旅游深度融合，促进文博、非遗传承展示，开展公共信息服务。盘活公共文化服务资源，开发文化旅游服务新产品，提升文化旅游影响力和吸引力。推动旅游与公共文化数字服务、文化惠民工程、农村电商、公共阅读服务、实体书店营销等深度融合，打造“旅游书店”和数字化文化产品，推进游客聚集区群众文化演出活动，依托丰富的群众文化活动，营造城市文化旅游氛围， 提升城市文化旅游游品位。</w:t>
      </w: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81" w:name="_Toc1070226146_WPSOffice_Level2"/>
      <w:r>
        <w:rPr>
          <w:rFonts w:hint="default" w:ascii="Times New Roman" w:hAnsi="Times New Roman" w:cs="Times New Roman"/>
        </w:rPr>
        <w:t>第四节 完善现代公共文化服务体系</w:t>
      </w:r>
      <w:bookmarkEnd w:id="8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1.加快公共文化基础设施建设，提升公共文化服务效能。</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rPr>
      </w:pPr>
      <w:r>
        <w:rPr>
          <w:rFonts w:hint="default" w:ascii="Times New Roman" w:hAnsi="Times New Roman" w:eastAsia="仿宋_GB2312" w:cs="Times New Roman"/>
        </w:rPr>
        <w:t>推进基层综合性文化服务中心建设，扩大乡村文化惠民工程覆盖面,发挥县、乡(镇)两级人民政府在总分馆制建设规划组织和推进方面的统筹协调作用,优化公共文化资源配置,完善配套措施。以乡(镇)、村(社区)两级为建设重点,将建设内容细化到乡,细化到村。摸清全县、各乡(镇)、村(社区)公共文化设施、服务资源、人才队伍等资源底数。坚持以群众需求为导向,充分整合各类资源,全面推进图书馆、文化馆总分馆制建设。到2025年，全面实现到村组的文化服务体系，满足全县群众的公共文化需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推进公共文化服务均等化、标准化、数字化、社会化坚持公益性、基本性、均等性、便利性要求，在巩固国家公共文化服务体系示范区创建成果基础上，按照“巩固强项、提升弱项、补齐缺项、提质增效”的要求，到2025年，基本公共文化服务主要指标接近全国平均水平，建成覆盖城乡、便捷高效、保基本、促公平的现代公共文化服务体系，实现公共文化服务标准化、均等化、数字化、社会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eastAsia" w:eastAsia="仿宋_GB2312" w:cs="Times New Roman"/>
          <w:lang w:eastAsia="zh-CN"/>
        </w:rPr>
        <w:t>（</w:t>
      </w:r>
      <w:r>
        <w:rPr>
          <w:rFonts w:hint="eastAsia" w:eastAsia="仿宋_GB2312" w:cs="Times New Roman"/>
          <w:lang w:val="en-US" w:eastAsia="zh-CN"/>
        </w:rPr>
        <w:t>1</w:t>
      </w:r>
      <w:r>
        <w:rPr>
          <w:rFonts w:hint="eastAsia" w:eastAsia="仿宋_GB2312" w:cs="Times New Roman"/>
          <w:lang w:eastAsia="zh-CN"/>
        </w:rPr>
        <w:t>）</w:t>
      </w:r>
      <w:r>
        <w:rPr>
          <w:rFonts w:hint="default" w:ascii="Times New Roman" w:hAnsi="Times New Roman" w:eastAsia="仿宋_GB2312" w:cs="Times New Roman"/>
        </w:rPr>
        <w:t>推进公共文化服务标准化。坚持以群众基本文化需求为导向，按照乡镇综合文化站“十个有”、村（社区）综合文化服务中心“九个有”的标准，统筹建设和完善，推进城乡公共文化服务体系一体化建设；服务内容标准化，切实保障城乡广大人民群众基本文化权益；公共文化设施实现全覆盖、互联互通 ；实现县图书馆、文化馆，博物馆、乡镇综合文化站，村(社区)基层综合文化服务中心，文化设施网络完善，布局合理，符合国家相关标准。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eastAsia" w:eastAsia="仿宋_GB2312" w:cs="Times New Roman"/>
          <w:lang w:eastAsia="zh-CN"/>
        </w:rPr>
        <w:t>（</w:t>
      </w:r>
      <w:r>
        <w:rPr>
          <w:rFonts w:hint="eastAsia" w:eastAsia="仿宋_GB2312" w:cs="Times New Roman"/>
          <w:lang w:val="en-US" w:eastAsia="zh-CN"/>
        </w:rPr>
        <w:t>2</w:t>
      </w:r>
      <w:r>
        <w:rPr>
          <w:rFonts w:hint="eastAsia" w:eastAsia="仿宋_GB2312" w:cs="Times New Roman"/>
          <w:lang w:eastAsia="zh-CN"/>
        </w:rPr>
        <w:t>）</w:t>
      </w:r>
      <w:r>
        <w:rPr>
          <w:rFonts w:hint="default" w:ascii="Times New Roman" w:hAnsi="Times New Roman" w:eastAsia="仿宋_GB2312" w:cs="Times New Roman"/>
        </w:rPr>
        <w:t>推进公共文化服务均等化。构建基本公共文化服务网络，保障群众的基本文化权益，加强数字文化服务和流动文化服务，提高文化惠民工程的覆盖面和实施效果。继续加强图书馆、文化馆、博物馆、乡镇综合文化站等公共文化设施免费开放；推进流动图书馆、流动展厅、文艺演出“进校园、进公园、进企业、进警营、进社区”等文化惠民工程；以县级文化馆、图书馆为中心推进总分馆制建设，加强对农家书屋的统筹管理，实现城乡社区公共文化服务资源整合和互联互通；以文化活动为载体，推进群众文化权益均等化；紧紧围绕元谋远古文化、民族文化、红色文化、花灯文化等地域特色文化资源，充分利用现有平台，打造具有元谋特色的文化活动品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eastAsia" w:eastAsia="仿宋_GB2312" w:cs="Times New Roman"/>
          <w:lang w:eastAsia="zh-CN"/>
        </w:rPr>
        <w:t>（</w:t>
      </w:r>
      <w:r>
        <w:rPr>
          <w:rFonts w:hint="eastAsia" w:eastAsia="仿宋_GB2312" w:cs="Times New Roman"/>
          <w:lang w:val="en-US" w:eastAsia="zh-CN"/>
        </w:rPr>
        <w:t>3</w:t>
      </w:r>
      <w:r>
        <w:rPr>
          <w:rFonts w:hint="eastAsia" w:eastAsia="仿宋_GB2312" w:cs="Times New Roman"/>
          <w:lang w:eastAsia="zh-CN"/>
        </w:rPr>
        <w:t>）</w:t>
      </w:r>
      <w:r>
        <w:rPr>
          <w:rFonts w:hint="default" w:ascii="Times New Roman" w:hAnsi="Times New Roman" w:eastAsia="仿宋_GB2312" w:cs="Times New Roman"/>
        </w:rPr>
        <w:t>推进公共文化服务数字化。加强公共数字文化建设。实现公众对全县公共文化信息和产品一站式、多维度获取目标。充分利用互联网、移动通讯网、广播电视网、自媒体等手段，拓宽公共文化资源传输渠道。通过数字技术提高文物保护和非遗等数字化记录、整理、保存和保护力度。借助现代传播渠道实现全县人民群众对公共文化服务需求，满意度的有效反馈。加快发展基层服务点建设，在“十四五”期间，力争100%完成全县行政村及20%自然村级服务点建设；提高文化馆、图书馆数字资源建设力度，构建基于多网络、多终端、全媒体的数字文化馆、数字图书馆服务体系；扩充数字信息资源存储、运行和管理设备，升级管理软件，提高系统的安全性、可靠性、稳定性，提升网络服务能力，加强信息服务系统的应用；在10乡（镇）77个村（社区）积极开展菜单式、订单式服务，通过“互联网+”吸收互联网领域内最新的发展契机和态势，借助“互联网+”的魅力建设和完善我县公共文化服务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eastAsia" w:eastAsia="仿宋_GB2312" w:cs="Times New Roman"/>
          <w:lang w:eastAsia="zh-CN"/>
        </w:rPr>
        <w:t>（</w:t>
      </w:r>
      <w:r>
        <w:rPr>
          <w:rFonts w:hint="eastAsia" w:eastAsia="仿宋_GB2312" w:cs="Times New Roman"/>
          <w:lang w:val="en-US" w:eastAsia="zh-CN"/>
        </w:rPr>
        <w:t>4</w:t>
      </w:r>
      <w:r>
        <w:rPr>
          <w:rFonts w:hint="eastAsia" w:eastAsia="仿宋_GB2312" w:cs="Times New Roman"/>
          <w:lang w:eastAsia="zh-CN"/>
        </w:rPr>
        <w:t>）</w:t>
      </w:r>
      <w:r>
        <w:rPr>
          <w:rFonts w:hint="default" w:ascii="Times New Roman" w:hAnsi="Times New Roman" w:eastAsia="仿宋_GB2312" w:cs="Times New Roman"/>
        </w:rPr>
        <w:t>推进公共服务社会化。加大政府向社会力量购买公共文化服务力度，拓宽社会供给渠道，完善丰富基层公共文化服务目录。鼓励和支持企业、社会组织和其他社会力量，通过直接投资、赞助活动、捐助设备、资助项目、提供产品和服务及采取公益创投、公益众筹等方式，参与基层综合性文化服务中心建设管理；巩固提升“国家公共文化服务体系示范区”创建成果，推动文化馆、图书馆、博物馆、文化站等活动场所免费提供基本公共文化服务项目，实现文化共建共享；加强对文化类社会组织的引导、扶持和管理，坚持积极引导发展和严格依法管理并重，通过明确职能定位、做好培育发展、完善内部治理、强化规范管理等，健全党委统一领导、政府有效监管、分级负责、协调配合的行业组织管理体制机制，引导行业组织在服务文化企事业单位、服务广大文化工作者、服务行业发展、丰富群众文化生活等方面，更好发挥自身功能和独特优势，激发全社会文化创造活力；推广文化志愿服务，积极动员社会力量参与文化志愿服务，发展有奉献精神和文体技能的普通群众成为志愿者，健全志愿者服务管理机制，策划志愿者服务项目，在城乡就近开展志愿服务活动。</w:t>
      </w:r>
    </w:p>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w w:val="90"/>
        </w:rPr>
      </w:pPr>
      <w:bookmarkStart w:id="82" w:name="_Toc1240783053_WPSOffice_Level1"/>
      <w:r>
        <w:rPr>
          <w:rFonts w:hint="default" w:ascii="Times New Roman" w:hAnsi="Times New Roman" w:cs="Times New Roman"/>
          <w:w w:val="90"/>
        </w:rPr>
        <w:t>第九章 提升质量，营造消费服务环境新优势</w:t>
      </w:r>
      <w:bookmarkEnd w:id="8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围绕提供优质产品和诚信服务要求，坚持以文化为灵魂、旅游为载体，以增强文旅治理能力为抓手，实施“服务质量提升工程”，丰富文化旅游新内涵，推出便民惠民新举措，营造安全舒适的消费环境;深化“放管服”改革，加强市场主体培育，完善优质高效的营商环境;加强市场综合治理，构建诚信服务体系，形成竞争有序的市场环境;加快旅游标准体系建设，提升服务质量和水平，完善主客共享、优质高效、便捷舒适的旅游服务体系，努力营造放心消费、诚信服务、和谐旅游环境的新优势。</w:t>
      </w: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83" w:name="_Toc1597387779_WPSOffice_Level2"/>
      <w:r>
        <w:rPr>
          <w:rFonts w:hint="default" w:ascii="Times New Roman" w:hAnsi="Times New Roman" w:cs="Times New Roman"/>
        </w:rPr>
        <w:t>第一节 营造安全舒适的消费环境</w:t>
      </w:r>
      <w:bookmarkEnd w:id="8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1.做好文旅消费工作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依托地域文化优势，推动文化创意产品开发，发展数字创意产业，创新文体娱乐供给，提供更多优质文化产品和服务。推动文化消费进入各类消费场所，重点开展文化消费进社区、进乡村，打造便民文化消费网点，完善老少妇幼残服务设施建设。打造文创园、特色书店、精品夜市、文化娱乐场馆、步行商业街区等多业态集聚的文化和旅游消费集聚地，鼓励各类文化和旅游消费场所升级改造，不断提升休闲、餐饮、文创产品展示销售等消费功能，促进文化和旅游夜间经济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2.推出文旅消费便民惠民措施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推动实施移动支付便民示范工程，推广移动互联网新兴支付方式，提高文化和旅游消费场所银行卡使用便捷度，不断提高消费便捷程度。鼓励景区景点设立公众免费开放日，实施淡季门票优惠、演出机构门票打折等。鼓励各级各类文艺剧团、旅游演艺企业等，采取团队游客、中小学生优惠票价，老年人、残疾人减免票价等多种形式，满足不同群体的文化需求。每年定期举办文化和旅游惠民消费季，组织开展形式多样的剧目展演、电影联展、图书展销、非遺展示、美食节庆、文创品展销、民俗体验等文旅消费活动，举办文化和旅游消费季、消费月及数字化文旅消费体验活动等。探索发放云南惠民文化和旅游消费电子券，当地居民、游客凭消费券可在指定范围享受购书、看报、看电影、看演出、旅游等文化和旅游消费惠民折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3.抓市场秩序整治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加大市场监管力度，严厉打击违法违规经营行为，切实维护好旅游市场秩序和广大游客合法权益。加强对文化和旅游市场综合行政执法，强化对娱乐市场、艺术品市场、演出市场、网络文化市场、出版物市场、广播影视市场、旅游市场管理监督检查。继续加强对文化娱乐和旅游设施的质量安全监管，积极推进“平安文化市场”创建，加强全县文化旅游市场监管，定期开展文化市场经营场所专项整治，主要整治互联网上网服务营业场所、歌舞娱乐场所、游艺娱乐场所存在的违法违规行为。定期开展在线旅游产品及信息专项整治和不合理低价游及非法经营旅行社业务专项整治，会同网信、通信管理、市场监管等部门对“不合理低价游”等产品及信息进行联合执法。继续推行“旅行社、分社及从业人员“红黑榜”制度”，严格落实“22条”措施和旅游从业人员“八不准”规定,继续推广使用电子合同、电子行程单及旅游车载音视频的运用，对旅行社和导游人员进行线上线下全面监管，进一步加强对旅游团队运行监管。充分发挥“12301”国家智慧旅游公共服务平台、“一部手机游云南”96301旅游服务热线作用，拓展和畅通消费者投诉渠道，及时处理旅游消费者投诉举报。完善全省游客购物“30天无理由退货”工作机制，为游客购物退货提供更加便捷的服务，营造良好市场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4.健全旅游安全服务保障体系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健全旅游安全服务保障体系，实施“安全旅游目的地”战略，以社会公共安全保障体系为依托，以完善旅游安全保障法规制度为基础，以科技应用和手段创新为突破，以旅游安全风险防范为重点，强化旅游安全主体责任，推进旅游治安、气象服务，完善消防、救援等专业性旅游应急体系，为游客营造安全放心的旅游环境,为经营单位营造安全的经营环境。建立健全旅游安全保障体制机制，推进旅游安全与应急管理标准化建设，规范相关设施与服务。建立健全旅游目的地旅游风险监测、评估和预警体系，加大安全与应急投入，建立健全旅游安全信息披露、安全风险信息提示、突发事件信息报告、应急及善后处置、旅游安全与应急宣传培训等工作制度,强化旅游安全应急处置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5.建立健全安全管理体系，完善安全基础设备设施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建立安全救援中心、重点景区安全救援分中心及一批安全救援点，开展24小时旅游安全救援服务。建立安全预报中心，预警灾害性天气、地质灾害等安全信息，定期组织宣传“旅游安全应急救援”相关知识。同时推动开展手机安全信息推送服务。完善旅游安全救援备案机制，旅游应急预案备案率达到100%。软件服务与硬件设施服务两手抓，加强安全管理保障。软性基础服务包括建立安全管理体系、应急安全预案、自然灾害预警机制、节假日旅游高峰期安全预案、消防安全人员培训制度、消防安全演练、定期安全隐患排查、加强服务人员安全宣传等，硬件设施包括安全监控系统、安全防护报警系统、消防警报设备、防火设备设施、安全出口、安全疏散通道、安全避险场所等。</w:t>
      </w: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84" w:name="_Toc1036103757_WPSOffice_Level2"/>
      <w:r>
        <w:rPr>
          <w:rFonts w:hint="default" w:ascii="Times New Roman" w:hAnsi="Times New Roman" w:cs="Times New Roman"/>
        </w:rPr>
        <w:t>第二节 完善优质高效的营商环境</w:t>
      </w:r>
      <w:bookmarkEnd w:id="84"/>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1.深化“放管服”改革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根据国家、省、州关于“放管服”改革的要求，落实国务院关于“放管服”改革电视电话会议精神及行政审批制度、商事制度改革各项工作任务，落实推进自由贸易试验区开展“证照分离”改革全覆盖试点的要求,加大对21项文化和旅游领域行政审批事项进行清单管理，完善文化和旅游清单管理制度，分级实施清单管理。结合国家文化和旅游部14类29项审批事项的办事指南、业务手册以及行政审批通用文书，规范审批流程;立足“数字云南”建设，强化“一部手机游云南”“一部手机云品荟”与“一部手机办事通”建设政务服务互通，助推文化和旅游办事主题在“一部手机办事通”上线，拓展文旅企业和游客办事的途径、创新文旅政务服务平台，将旅游行政审批事项“一网办成”，旅游企业可实现全程“零跑腿、网上跑”。充分发挥社会领域公共服务资源作用，创新服务模式，更好惠及人民群众。完善云南省旅游诚信体系建设，持续开展“双随机、一公开”监管;完善线上、线下游客购物退货机制，畅通退货受理渠道;指导旅游相关行业协会制定行业标准，开展行业自律工作，强化落实企业内容自审责任，增强市场主体守法的自觉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2.不断优化营商环境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结合全省加快打造市场化、法治化、国际化一流营商环境相关要求,优化减少文旅项目审批流程,最大限度的缩短企业跑办时间。约束文旅企业规范纳税、以奖励的方式对中小微文化旅游企业进行税收返、实施“两免三减半”等税收扶持政策，实行基金扶持、减免租金、减缓税收和奖励等财政政策，鼓励文化旅游企业通过文旅品牌、无形资产、专项债等方式进行创新性融资和体系扶持等金融政策和AAA级以上旅游景区、3星级以上宾馆酒店、民宿、营地、半山酒店等进行资金奖补的政府补助政策。加大对文化旅游市场的监督检查，与相关部门联合建立长效综合监管机制，创新打造“行政监管+社会监督+媒体助力+行业自律+游客自觉”五位一体的旅游市场综合治理模式。加强作风建设，深入开展主题教育活动，坚持以钉钉子精神打好作风建设持久战，完善各项营商规章制度，切实转变工作作风，全面优化营商环境，切实做好政务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3.加强市场主体培育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积极引进国内外一批实力雄厚、善于经营、社会责任感强的知名文化旅游集团、品牌大公司、品牌连锁酒店等入驻元谋，参与元谋文化旅游开发和产业融合,形成跨界融合的产业集团和产业联盟，打造具有较强跨界整合能力、综合带动力、市场竞争力的“航空母舰”品牌企业。鼓励支持县内文化、旅游企业创新发展，推动跨地区、跨行业、跨所有制兼并和重组,做大做强-批综合型龙头文化、旅游企业，做精做优一批专业型骨干企业，积极引进国际文化娱乐企业、健康服务公司、赛事经纪公司、养生养老机构等参与文化旅游项目建设和经营管理，提升云南骨干企业运营管理能力。打造中小微文化、旅游企业孵化平台，强化分类指导，突出特色和质量，做特做活一批“小而精、小而特、小而优、小而新”的文化旅游企业，增强文化旅游企业的核心竞争力，鼓励大中专院校毕业生创新创业，创办文化和旅游小微企业。鼓励支持本地结合当地实际和文旅市场消费需求，积极发展一批文化传播演出和旅游演艺企业;鼓励支持文化院团面向当地群众和游客，推出具有鲜明特色和吸引力的文化演艺精品剧目，鼓励支持有条件的乡村成立文化旅游民间演出社团或公司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4.全服务提升，构建旅游服务体系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把人民群众更加满意作为元谋县提升旅游质量和服务水平的价值导向，全面提升旅游设施能力、旅游产品质量、旅游服务水平和旅游管理效能，促进游客满意度稳步提升，旅游质量基础更加坚实，旅游市场规范有序，旅游服务水平显著提升，旅游管理精简高效，更好地满足人民群众日益增长的旅游消费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eastAsia" w:eastAsia="仿宋_GB2312" w:cs="Times New Roman"/>
          <w:lang w:eastAsia="zh-CN"/>
        </w:rPr>
        <w:t>（</w:t>
      </w:r>
      <w:r>
        <w:rPr>
          <w:rFonts w:hint="eastAsia" w:eastAsia="仿宋_GB2312" w:cs="Times New Roman"/>
          <w:lang w:val="en-US" w:eastAsia="zh-CN"/>
        </w:rPr>
        <w:t>1</w:t>
      </w:r>
      <w:r>
        <w:rPr>
          <w:rFonts w:hint="eastAsia" w:eastAsia="仿宋_GB2312" w:cs="Times New Roman"/>
          <w:lang w:eastAsia="zh-CN"/>
        </w:rPr>
        <w:t>）</w:t>
      </w:r>
      <w:r>
        <w:rPr>
          <w:rFonts w:hint="default" w:ascii="Times New Roman" w:hAnsi="Times New Roman" w:eastAsia="仿宋_GB2312" w:cs="Times New Roman"/>
        </w:rPr>
        <w:t>完善旅游服务标准化体系。以推进旅游标准化工作为重点，贯彻落实旅游服务的国家标准、行业标准和地方标准，加强涉旅从业人员培训，实施旅游服务标杆引领计划，推动景区创A、饭店评星和各类旅游示范区创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eastAsia" w:eastAsia="仿宋_GB2312" w:cs="Times New Roman"/>
          <w:lang w:eastAsia="zh-CN"/>
        </w:rPr>
        <w:t>（</w:t>
      </w:r>
      <w:r>
        <w:rPr>
          <w:rFonts w:hint="eastAsia" w:eastAsia="仿宋_GB2312" w:cs="Times New Roman"/>
          <w:lang w:val="en-US" w:eastAsia="zh-CN"/>
        </w:rPr>
        <w:t>2</w:t>
      </w:r>
      <w:r>
        <w:rPr>
          <w:rFonts w:hint="eastAsia" w:eastAsia="仿宋_GB2312" w:cs="Times New Roman"/>
          <w:lang w:eastAsia="zh-CN"/>
        </w:rPr>
        <w:t>）</w:t>
      </w:r>
      <w:r>
        <w:rPr>
          <w:rFonts w:hint="default" w:ascii="Times New Roman" w:hAnsi="Times New Roman" w:eastAsia="仿宋_GB2312" w:cs="Times New Roman"/>
        </w:rPr>
        <w:t>规范旅游公共服务设施、公共标识系统和外语环境建设。建立优质服务商名录，推出优质服务品牌，促进旅游经营管理、服务设施和服务技能提升，开展以游客为主的旅游目的地评价，不断提升元谋旅游服务质量和水平，打造良好的旅游服务形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eastAsia" w:eastAsia="仿宋_GB2312" w:cs="Times New Roman"/>
          <w:lang w:eastAsia="zh-CN"/>
        </w:rPr>
        <w:t>（</w:t>
      </w:r>
      <w:r>
        <w:rPr>
          <w:rFonts w:hint="eastAsia" w:eastAsia="仿宋_GB2312" w:cs="Times New Roman"/>
          <w:lang w:val="en-US" w:eastAsia="zh-CN"/>
        </w:rPr>
        <w:t>3</w:t>
      </w:r>
      <w:r>
        <w:rPr>
          <w:rFonts w:hint="eastAsia" w:eastAsia="仿宋_GB2312" w:cs="Times New Roman"/>
          <w:lang w:eastAsia="zh-CN"/>
        </w:rPr>
        <w:t>）</w:t>
      </w:r>
      <w:r>
        <w:rPr>
          <w:rFonts w:hint="default" w:ascii="Times New Roman" w:hAnsi="Times New Roman" w:eastAsia="仿宋_GB2312" w:cs="Times New Roman"/>
        </w:rPr>
        <w:t xml:space="preserve">推进旅游服务智能化发展，强化“互联网+”理念。建设以大数据中心、信息网站及微信公众号、微博等自媒体服务平台为重点的旅游信息服务体系，定期发布旅游交通、旅游优惠、旅游投诉实时咨询和预警信息，实施旅游热点期、重点景区流量实时监控和信息发布，完善在线旅游信息服务集群、现场信息服务窗口、声讯服务系统等线上线下旅游信息服务体系，大力发展旅游电子商务，推进智慧城市、智慧乡镇、智慧景区、智慧酒店建设，所有涉旅场所实现通讯信号、wifi、视频监控全覆盖，不断提高旅游服务智能化水平。 </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rPr>
      </w:pPr>
      <w:r>
        <w:rPr>
          <w:rFonts w:hint="default" w:ascii="Times New Roman" w:hAnsi="Times New Roman" w:eastAsia="仿宋_GB2312" w:cs="Times New Roman"/>
        </w:rPr>
        <w:t>提升旅游交通服务水平。以全县交通基础设施建设为依托，在高速公路、干线公路等新建和改造提升游客休息服务点，建设自驾车房车露营地，开通县城、火车站至重点旅游区、旅游小镇、旅游特色村的公共交通车，发展城市公共免费自行车，开展自驾车租赁服务等，强化交通设施的旅游服务功能，完善以旅游交通引导标识、交通导览图、路牌、刀旗等为重点的交通引导标识、旅游形象宣传标识，提升旅游交通服务质量和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eastAsia" w:eastAsia="仿宋_GB2312" w:cs="Times New Roman"/>
          <w:lang w:eastAsia="zh-CN"/>
        </w:rPr>
        <w:t>（</w:t>
      </w:r>
      <w:r>
        <w:rPr>
          <w:rFonts w:hint="eastAsia" w:eastAsia="仿宋_GB2312" w:cs="Times New Roman"/>
          <w:lang w:val="en-US" w:eastAsia="zh-CN"/>
        </w:rPr>
        <w:t>4</w:t>
      </w:r>
      <w:r>
        <w:rPr>
          <w:rFonts w:hint="eastAsia" w:eastAsia="仿宋_GB2312" w:cs="Times New Roman"/>
          <w:lang w:eastAsia="zh-CN"/>
        </w:rPr>
        <w:t>）</w:t>
      </w:r>
      <w:r>
        <w:rPr>
          <w:rFonts w:hint="default" w:ascii="Times New Roman" w:hAnsi="Times New Roman" w:eastAsia="仿宋_GB2312" w:cs="Times New Roman"/>
        </w:rPr>
        <w:t>强化旅游市场信用体系建设。以健全旅游市场信用规章制度为基础，以加快市场主体信用建设为重点，以提高诚信经营服务、文明旅游意识和水平为目的，加强旅游企业和从业人员信用建设，建立守信激励、失信惩戒机制，健全信用档案和不良行为信息记录，公开严重失信行为，实行社会监督，应用信用评价结果，推动旅游企业诚信经营、从业人员诚信服务，引导游客文明旅游和绿色消费，促进和谐旅游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eastAsia" w:eastAsia="仿宋_GB2312" w:cs="Times New Roman"/>
          <w:lang w:eastAsia="zh-CN"/>
        </w:rPr>
        <w:t>（</w:t>
      </w:r>
      <w:r>
        <w:rPr>
          <w:rFonts w:hint="eastAsia" w:eastAsia="仿宋_GB2312" w:cs="Times New Roman"/>
          <w:lang w:val="en-US" w:eastAsia="zh-CN"/>
        </w:rPr>
        <w:t>5</w:t>
      </w:r>
      <w:r>
        <w:rPr>
          <w:rFonts w:hint="eastAsia" w:eastAsia="仿宋_GB2312" w:cs="Times New Roman"/>
          <w:lang w:eastAsia="zh-CN"/>
        </w:rPr>
        <w:t>）</w:t>
      </w:r>
      <w:r>
        <w:rPr>
          <w:rFonts w:hint="default" w:ascii="Times New Roman" w:hAnsi="Times New Roman" w:eastAsia="仿宋_GB2312" w:cs="Times New Roman"/>
        </w:rPr>
        <w:t>建立健全旅游安全保障服务体系。牢固树立“没有安全就没有旅游”的旅游安全意识，以社会公共安全保障体系为依托，以保障游客安全旅游为目标，强化旅游安全管控和风险防范意识，建立健全包括旅游安全制度、安全管控、安全预警、安全救援、安全保险等为一体的旅游安全保障服务体系，为游客营造安全、有序、文明、和谐的旅游环境。</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rPr>
      </w:pPr>
      <w:r>
        <w:rPr>
          <w:rFonts w:hint="default" w:ascii="Times New Roman" w:hAnsi="Times New Roman" w:eastAsia="仿宋_GB2312" w:cs="Times New Roman"/>
        </w:rPr>
        <w:t>建立健全旅游便民惠民服务体系。推进便民惠民的游憩环境、网络通信、医疗卫生、慢行道路、文化广场、停车场、旅游厕所、无障碍设施等公共服务设施建设，推动城市公园、文化馆、图书馆、体育场馆等公共设施向游客免费开放，鼓励旅游企业、景区点推出更多的便民惠民服务措施，向低收入群体、老年人群、偏远地区农村学生等推出免费旅游计划、旅游优惠券等，着力塑造热情好客、和谐共享的元谋旅游新形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eastAsia" w:eastAsia="仿宋_GB2312" w:cs="Times New Roman"/>
          <w:lang w:eastAsia="zh-CN"/>
        </w:rPr>
        <w:t>（</w:t>
      </w:r>
      <w:r>
        <w:rPr>
          <w:rFonts w:hint="eastAsia" w:eastAsia="仿宋_GB2312" w:cs="Times New Roman"/>
          <w:lang w:val="en-US" w:eastAsia="zh-CN"/>
        </w:rPr>
        <w:t>6</w:t>
      </w:r>
      <w:r>
        <w:rPr>
          <w:rFonts w:hint="eastAsia" w:eastAsia="仿宋_GB2312" w:cs="Times New Roman"/>
          <w:lang w:eastAsia="zh-CN"/>
        </w:rPr>
        <w:t>）</w:t>
      </w:r>
      <w:r>
        <w:rPr>
          <w:rFonts w:hint="default" w:ascii="Times New Roman" w:hAnsi="Times New Roman" w:eastAsia="仿宋_GB2312" w:cs="Times New Roman"/>
        </w:rPr>
        <w:t>建立健全旅游志愿服务体系。提升当地居民的旅游服务意识和文明素质，积极开展旅游志愿服务公益行动，建立旅游志愿服务工作站（可与游客中心结合），制定管理激励制度，鼓励当地居民为游客提供文明引导、文化介绍、游览讲解、信息咨询和应急救援等公益服务，引导游客文明旅游和低碳旅游，形成旅游发展的合力。</w:t>
      </w: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85" w:name="_Toc491501245_WPSOffice_Level2"/>
      <w:r>
        <w:rPr>
          <w:rFonts w:hint="default" w:ascii="Times New Roman" w:hAnsi="Times New Roman" w:cs="Times New Roman"/>
        </w:rPr>
        <w:t>第三节 构建文明和谐的旅游环境</w:t>
      </w:r>
      <w:bookmarkEnd w:id="8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1.提升服务质量和水平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加快旅游标准体系建设，实现以标准规范市场秩序，以标准优化营商环境，以标准促进服务质量提升，不断完善主客共享、优质高效、便捷舒适的旅游服务体系。建立旅游在线培训服务平台，通过网络直播、互动点播、按需定制等数字化手段，加强旅游从业人员培训，全面提升旅游服务质量和水平。依托在线服务平台，借助线上反馈和互动优化，倾听市场主体和消费者需求，纳入服务质量考核体系，不断提升服务质量和水平。积极利用“一部手机游云南”应用程序中的投诉建议功能，定期对用户建议进行大数据分析，形成报告并定期向社会发布，提振游客消费信心和体验感，强化旅游供给商规范经营、诚信经营和服务,全面提升旅游服务质量和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2.引导文明旅游理性消费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通过法律和政策向社会传导正确价值取向，推出倡导文明旅游和理性消费为主的公益广告，增强人们文明旅游、理性消费的价值取向和认同感，树立绿色旅游价值观、培育文明旅游理念、践行低碳出行方式，营造全社会文明旅游、理性消费良好环境。借助“一部手机游云南”APP及其他网络、新媒体平台，开辟文明旅游、理性消费宣传板块，引导人们文明旅游、理性消费行为，积极倡导游客自觉遵守文明旅游公约，树立理性消费观念，杜绝餐饮浪费行为，加大对不文明旅游行为的曝光力度。积极组织各级媒体宣传典型人物、事件、企业和文化旅游目的地,加强文化旅游志愿者队伍建设，营造良好文旅市场环境，树立元谋旅游诚信品牌，扩大元谋文化和旅游的正能量影响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3.积极推进无障碍旅游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全面优化提升酒店和旅游景点的无障碍设施，强化旅游设施对残障人员的友好程度。利用新兴数字技术和新媒体技术，推进建设一批智能媒体终端和数字化展览体验馆，在景区景点为残障人士提供手感触摸、语音解读、全自动导览车等个性化、无障碍的参观体验服务。</w:t>
      </w:r>
    </w:p>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w w:val="90"/>
        </w:rPr>
      </w:pPr>
    </w:p>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w w:val="90"/>
        </w:rPr>
      </w:pPr>
      <w:bookmarkStart w:id="86" w:name="_Toc1657097064_WPSOffice_Level1"/>
      <w:r>
        <w:rPr>
          <w:rFonts w:hint="default" w:ascii="Times New Roman" w:hAnsi="Times New Roman" w:cs="Times New Roman"/>
          <w:w w:val="90"/>
        </w:rPr>
        <w:t>第十章 拓展市场，提升文旅开放合作水平</w:t>
      </w:r>
      <w:bookmarkEnd w:id="86"/>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87" w:name="_Toc584625798_WPSOffice_Level2"/>
      <w:r>
        <w:rPr>
          <w:rFonts w:hint="default" w:ascii="Times New Roman" w:hAnsi="Times New Roman" w:cs="Times New Roman"/>
        </w:rPr>
        <w:t>第一节 加快培育打造文旅新品牌</w:t>
      </w:r>
      <w:bookmarkEnd w:id="8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1.塑造</w:t>
      </w:r>
      <w:r>
        <w:rPr>
          <w:rFonts w:hint="eastAsia" w:eastAsia="仿宋_GB2312" w:cs="Times New Roman"/>
          <w:lang w:eastAsia="zh-CN"/>
        </w:rPr>
        <w:t>“</w:t>
      </w:r>
      <w:r>
        <w:rPr>
          <w:rFonts w:hint="default" w:ascii="Times New Roman" w:hAnsi="Times New Roman" w:eastAsia="仿宋_GB2312" w:cs="Times New Roman"/>
        </w:rPr>
        <w:t>元谋文化和旅游IP</w:t>
      </w:r>
      <w:r>
        <w:rPr>
          <w:rFonts w:hint="eastAsia" w:eastAsia="仿宋_GB2312" w:cs="Times New Roman"/>
          <w:lang w:eastAsia="zh-CN"/>
        </w:rPr>
        <w:t>”</w:t>
      </w:r>
      <w:r>
        <w:rPr>
          <w:rFonts w:hint="default" w:ascii="Times New Roman" w:hAnsi="Times New Roman" w:eastAsia="仿宋_GB2312" w:cs="Times New Roman"/>
        </w:rPr>
        <w:t>新形象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深度挖掘元谋县文化内核和资源内核，根据“元谋人”元素设计元谋人形象IP，衍生开发出围绕IP形象制定的微信表情包、玩偶公仔、彝族刺绣等特色文创产品，打造具有国际影响力的品牌IP系统。IP代表元谋个性和稀缺性，形成简单鲜明有特色的元素和符号，让大众对元谋文化旅游有形象认知，让品牌IP赋予元谋文化旅游独特的性格特点，给游客留下深刻印象的同时，宣传当地特色旅游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2.突出文旅活动品牌打造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推动展、节、会、演创新融合，提升旅游节庆和展会水平，打造知名节会品牌，把“元谋人”远古文化节、果蔬文化旅游节、红军节、摩托车耐力赛、马拉松半程赛等打造成区域性文化旅游节庆品牌。在进一步深入挖掘文化内涵、提升文化创意的基础上，充分利用VR、AR、3D、全息等现代科技和数字影像手段，对现有的剧场类、实景类文化旅游演艺剧目进行全方位提升改造，创新旅游演艺的演出内容和表现形式。有针对性地把艺术创作生产与旅游项目开发结合起来，鼓励支持各类专业演艺机构进入旅游景区、旅游名镇、旅游街区，采用市场化运作方式，通过承办、合办等形式，着力打造推出一批沉浸式、精品型、情景性、互动化的中小型旅游演艺剧目。着力培育“元谋远古穿越情”旅游文化演艺节目品牌，策划推出一批参与性强、市场认可度高的夜间旅游演艺、文化娱乐活动，推动夜间旅游观光项目建设和产品开发，增强元谋旅游的参与性、娱乐性和体验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3.健全全域旅游营销体系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加强宣传营销，加快构建“政府、媒体、企业、中介”四位一体的宣传营销体系，多管齐下、多措并举、形成合力，加大宣传营销力度。实施品牌营销工程，创新构建元谋文旅品牌体系。探索多渠道营销，针对不同地区和群体“量身定做”营销方案，有效运用网络营销、公众营销、节庆营销等多种方式进行品牌营销，实施创新创意营销、形象营销，积极开展自媒体、高铁营销宣传，持续扩大旅游市场规模。鼓励开展境内外旅游宣传促销，实施元谋旅游营销推广计划及奖补政策，加强区域联动协作开发，加强与周边地区及重点客源地区域合作，积极构建“资源共享、客源互送、信息互通、要素流动、互利互惠”的合作发展格局。打好动车牌，增强与铁路沿线城市的协作、互动，开展多种形式的旅游宣传推介活动和外引内联工作；积极培育旅游专线，依托环楚旅游圈，合力构建滇中旅游圈，主动接轨、积极融入大滇西旅游环线，推进与周边区域和城市的战略合作，塑造区域旅游品牌。</w:t>
      </w: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88" w:name="_Toc1241412668_WPSOffice_Level2"/>
      <w:r>
        <w:rPr>
          <w:rFonts w:hint="default" w:ascii="Times New Roman" w:hAnsi="Times New Roman" w:cs="Times New Roman"/>
        </w:rPr>
        <w:t>第二节 提高跨区域合作成效</w:t>
      </w:r>
      <w:bookmarkEnd w:id="8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1.扩大元谋对内对外开放力度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抓住国家推进共建“一带一路”、长江经济带发展、澜沧江—湄公河区域合作、中国—中南半岛走廊、孟中印缅走廊建设等机遇，积极扩大旅游对内对外开放，建立良好的投资环境，吸引国内外有实力的企业参与重点旅游项目开发建设；鼓励支持国内外企业通过合资、独资等直接投资形式参与元谋旅游开发建设；引导旅游企业加强与国内外知名企业建立战略合作伙伴关系，积极请进来、走出去开展旅游业务，促进元谋旅游的国际化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2.加大对县域旅游资源整合力度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加强县内各旅游景区点、旅游城镇、旅游特色村、接待设施和公共服务设施等多方面的整合，通过相互取长补短、互为依托和补充，形成差异化、特色化旅游产品和互补的线路产品，有效避免低层次重复开发建设，共同拓展旅游客源市场，加强旅游人才培养、信息平台打造、旅游管理等方面合作，不断提高旅游管理能力和水平。</w:t>
      </w: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89" w:name="_Toc1164343230_WPSOffice_Level2"/>
      <w:r>
        <w:rPr>
          <w:rFonts w:hint="default" w:ascii="Times New Roman" w:hAnsi="Times New Roman" w:cs="Times New Roman"/>
        </w:rPr>
        <w:t>第三节 加强对外区域旅游合作</w:t>
      </w:r>
      <w:bookmarkEnd w:id="8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加强与昆明、丽江、攀枝花、武定、禄劝、禄丰、永仁、会理等周边市县的旅游交流与合作，形成与周边旅游区合作互补带动效应，吸引更多的海内外游客。加强与四川、重庆、贵州等周边省区和东部发达地区的旅游交流与合作，形成跨区域旅游合作体系，把元谋旅游纳入长江经济带的精品旅游线路中，实现区域旅游共享、市场共享和利益共享。依托滇中城市经济圈一体化发展，加强与东南亚、南亚地区的国际区域旅游交流与合作，吸引更多的国际入境游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永仁、元谋、武定3县金沙江流域的旅游资源非常丰富，开发潜力巨大，且区域内的旅游资源、文化内涵和价值体现各有千秋，具有很强的互补性，永仁方山、元谋金沙湖旅游区和武定己衣大裂谷旅游景区是打造成为攀昆金沙江黄金水道旅游线路上的3个重要节点。目前，金沙江乌东德水电站已建成下闸蓄水，随着水位上升和水面加宽，金沙江沿线旅游必将迎来一个全新的发展时期。为依托楚雄州金沙江大流域旅游资源优势，以金沙湖旅游区项目为核心，通过永仁、元谋、武定3县建立联动工作机制，协同开发金沙江旅游资源，把金沙江旅游资源开发打造成为大滇西旅游环线和奇山异水走廊的精品旅游线路。</w:t>
      </w:r>
    </w:p>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w w:val="90"/>
        </w:rPr>
      </w:pPr>
    </w:p>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w w:val="90"/>
        </w:rPr>
      </w:pPr>
      <w:bookmarkStart w:id="90" w:name="_Toc477338488_WPSOffice_Level1"/>
      <w:r>
        <w:rPr>
          <w:rFonts w:hint="default" w:ascii="Times New Roman" w:hAnsi="Times New Roman" w:cs="Times New Roman"/>
          <w:w w:val="90"/>
        </w:rPr>
        <w:t>第十一章 统筹协调 强化规划实施保障措施</w:t>
      </w:r>
      <w:bookmarkEnd w:id="90"/>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91" w:name="_Toc1964533241_WPSOffice_Level2"/>
      <w:r>
        <w:rPr>
          <w:rFonts w:hint="default" w:ascii="Times New Roman" w:hAnsi="Times New Roman" w:cs="Times New Roman"/>
        </w:rPr>
        <w:t>第一节 形成规划实施合力</w:t>
      </w:r>
      <w:bookmarkEnd w:id="9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1.强化规划引领作用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按照《中华人民共和国旅游法》和有关规定，强化“十四五”文化和旅游发展规划的法定地位和引领作用，确保规划的法定性和实施的一贯性,并在全县经济社会发展规划、土地利用规划、交通建设规划、城乡建设规划、环境保护规划、脱贫攻坚规划及相关产业发展规划时，充分考虑文化旅游发展的需要，将有关建设内容纳入相关规划中，统筹协调，整合各方面资源和力量促进元谋文化旅游开发建设和文化旅游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2.强化分步实施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坚持规划先行、分步实施、有序开发、集中发力的原则，有序推进主要任务及工程项目建设。将发展目标、建设任务、建设项目重点工作具体分解到各乡镇、各相关部门和单位，进一步落实工作任务和重点，及时统筹协调解决建设发展过程中的具体问题，按时开展规划实施进展情况年度总结和中期评估报告。从工作实际出发，从具体流程着手，有效推进项目建设、产品业态、公共服务、市场监管等按时序、分阶段、分步骤实施，及时发现、协调解决规划实施过程中出现的具体问题，确保各项主要任务、重点工作、重大工程项目等顺利推进。</w:t>
      </w: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92" w:name="_Toc1778991752_WPSOffice_Level2"/>
      <w:r>
        <w:rPr>
          <w:rFonts w:hint="default" w:ascii="Times New Roman" w:hAnsi="Times New Roman" w:cs="Times New Roman"/>
        </w:rPr>
        <w:t>第二节 加大政策支持力度</w:t>
      </w:r>
      <w:bookmarkEnd w:id="9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1.加大财政政策的支持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建立县级财政旅游专项基金，加大对公共基础设施建设、重点项目前期工作、市场营销、监管和人才培训等资金投入力度。加大对文化旅游的支持力度，对成功创建国家级省级旅游度假区、国家AAA级以上旅游景区、四星级以上旅游饭店、3星级以上汽车旅游营地、云南省精品旅游饭店、3星级以上云南省旅游民宿给予财政奖补支持。积极争取国家、省州财政资金对全县文化旅游公共基础设施、旅游名镇和旅游名村建设的支持。贯彻落实国家、省、州有关财税方面的支持政策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2.加大金融资金支持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金融部门对文化旅游重点建设项目，可以灵活采用门票收费权抵押，信用贷款等形式优先给予贷款支持。支持符合条件的文化旅游企业通过项目融资、产权置换等多种方式筹措资金。对积极发展乡村旅游、农家乐的农村居民给予小额信用贷款扶持。鼓励保险机构创新险种和服务机制，发展特色保险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3.加大用地支持力度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强化国土空间规划的指导和约束作用，统筹和综合平衡旅游发展的空间需求，贯彻落实国家、省、州有关文化旅游用地支持政策，将重点文化旅游项目建设用地统一纳入土地调规内容，并在年度用地计划指标内优先安排或单列建设用地指标，保障文化旅游重点项目和乡村旅游扶贫项目用地。结合荒山植树造林、河流流域和水土流失综合整治，科学合理地整治利用荒山、荒坡、滩涂地等。结合乡村易地搬迁安置等，合理有效利用原有的宅基地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4.加大产业扶持政策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加大文化旅游项目招商引资力度，鼓励支持符合文化旅游发展的项目建设，对建设三星级及以上旅游饭店、AAA级及以上旅游景区、休闲农业园区、特色小镇和旅游特色村等旅游项目，按相关政策优先给予贷款贴息等政策扶持；对文化旅游企业使用水、电、气等价格，按工业企业标准给予区分优惠政策支持。</w:t>
      </w:r>
    </w:p>
    <w:p>
      <w:pPr>
        <w:pStyle w:val="4"/>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rPr>
      </w:pPr>
      <w:bookmarkStart w:id="93" w:name="_Toc434866197_WPSOffice_Level2"/>
      <w:r>
        <w:rPr>
          <w:rFonts w:hint="default" w:ascii="Times New Roman" w:hAnsi="Times New Roman" w:cs="Times New Roman"/>
        </w:rPr>
        <w:t>第三节 强化体制机制改革</w:t>
      </w:r>
      <w:bookmarkEnd w:id="9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1.强化公共文化服务功能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坚持以巩固国家公共文化服务体系示范区成果为契机，加强学习，内强素质，外塑形象。深入调查研究，努力解决群众文化工作中遇到的新问题，按工作规划中的：“转变管理理念，提高管理水平，提升服务质量，创新工作思路，创新服务方式，创新活动内容，在工作中突出特点，抓住重点，展现亮点，狠抓贯彻落实，充分发挥丰富的公共文化资源优势，开展丰富多彩的群众文化活动，切实促进文化事业的大发展大繁荣。切实抓好图书馆、文化馆、博物馆、乡镇综合文化站建设工作，不断完善公共文化服务网络。通过开展“三馆一站”免费开放、非遗进校园、进农村、进社区、进军营、进企业、送戏下乡等活动进一步丰富群众的精神文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2.加强文化旅游统计工作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适应文旅发展的新趋势和新特点，加强文化旅游统计的理论研究，建立健全统计制度和标准，探索科学的统计方法，切实做好数据采集和统计工作。强化文化旅游与高铁站、高速路收费站、移动通讯、公安、交运、地震、气象等单位合作，充分利用大数据、云计算等现代技术手段，加强对数据的收集监测、分析应用和及时报送，确保统计数据的真实、准确和可靠。依托元谋大数据中心，加强大数据信息分析和处理，了解和把握多样化、多层次的文化旅游消费需求，市场动态和游客诉求，实施精准旅游营销。加强统计人员培养，提高新技术、新手段应用能力，不断提高文化旅游统计工作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3.加强人才队伍建设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加快人才培养，强化人才队伍建设，加强对从业人员的技能提升培训，加强对文化创意、文化艺术、旅游演艺、电商直播等领域的人才培养，促进文旅人才结构优化，努力建设一支能力强、素质高、服务好的人才队伍。加强对当地居民的生态环保理念、好客理念、服务观念教育，营造良好的文化旅游环境和氛围。加强与省内外旅游院校、科研机构合作，建立教学实习、科研基地和文旅专家智库，积极引进专门人才和智力，留住培养的专业人才，降低从业人员的流动率，优化人员结构。为促进元谋文旅建设发展，提供坚强的人才保证和广泛的智力支持。借助教育信息化、继续教育平台，提供线上线下文旅专业课程，强化全省文旅终身学习观念，培养懂文化、懂旅游、懂品牌、懂管理、会营销的复合型人才。</w:t>
      </w:r>
    </w:p>
    <w:p>
      <w:pPr>
        <w:pStyle w:val="4"/>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rPr>
          <w:rFonts w:hint="default" w:ascii="Times New Roman" w:hAnsi="Times New Roman" w:cs="Times New Roman"/>
        </w:rPr>
      </w:pPr>
      <w:bookmarkStart w:id="94" w:name="_Toc529382905_WPSOffice_Level2"/>
      <w:r>
        <w:rPr>
          <w:rFonts w:hint="default" w:ascii="Times New Roman" w:hAnsi="Times New Roman" w:cs="Times New Roman"/>
        </w:rPr>
        <w:t>第四节 加大规划实施监督</w:t>
      </w:r>
      <w:bookmarkEnd w:id="9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1.加大规划实施督查检查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建立督查制度，强化规划实施的监督检查和跟踪问效，做到有目标、有计划、有措施、有检查、有奖惩地落实各项工作任务。明确各部门、各单位的工作任务和责任，实行目标责任制度和考核奖惩制度，确保各项工作有力有序推进。实施重大重点文旅项目台账管理，对文旅重大重点项目建档立卡，及时跟踪进展情况，了解项目推进中的困难和问题，及时协调解决项目推进中的问题。健全文旅项目建设考核体系，科学制定考核标准，做到年初有计划、季度有检查、年终有考核，确保完成目标和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2.开展规划实施中期评估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积极开展规划实施的中期评估，制定中期评估的考核标准和考核机制，对2021--2023年规划中的重大文旅项目落地、新业态发展和文旅公共服务设施建设等重点工作，实施中期完成情况评估，全面分析检查规划实施的效果。同时，根据中期评估的反馈信息进行纠偏分析，及时调整和修订规划，明确规划实施后半程的重点任务和要求，保证规划目标和任务的顺利实现。</w:t>
      </w:r>
    </w:p>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方正楷体简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方正楷体简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方正楷体简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方正楷体简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052D3"/>
    <w:rsid w:val="00043854"/>
    <w:rsid w:val="00047A64"/>
    <w:rsid w:val="0006515B"/>
    <w:rsid w:val="0022219A"/>
    <w:rsid w:val="00263BC7"/>
    <w:rsid w:val="00352F17"/>
    <w:rsid w:val="007B4DCB"/>
    <w:rsid w:val="00842A9B"/>
    <w:rsid w:val="009E0065"/>
    <w:rsid w:val="00C5617B"/>
    <w:rsid w:val="00FB3954"/>
    <w:rsid w:val="010468C2"/>
    <w:rsid w:val="011B70CD"/>
    <w:rsid w:val="0153382D"/>
    <w:rsid w:val="015A4CC9"/>
    <w:rsid w:val="01686CFF"/>
    <w:rsid w:val="017C6DE8"/>
    <w:rsid w:val="017E7E3F"/>
    <w:rsid w:val="018C3B67"/>
    <w:rsid w:val="01AE0515"/>
    <w:rsid w:val="01FE3FBE"/>
    <w:rsid w:val="02195FD7"/>
    <w:rsid w:val="023220DB"/>
    <w:rsid w:val="02375188"/>
    <w:rsid w:val="0241606C"/>
    <w:rsid w:val="02661521"/>
    <w:rsid w:val="02675265"/>
    <w:rsid w:val="0272765B"/>
    <w:rsid w:val="028B72AD"/>
    <w:rsid w:val="0291394B"/>
    <w:rsid w:val="029B09E2"/>
    <w:rsid w:val="02A92B42"/>
    <w:rsid w:val="030627D4"/>
    <w:rsid w:val="03190089"/>
    <w:rsid w:val="031A791D"/>
    <w:rsid w:val="033C59DA"/>
    <w:rsid w:val="033E6A71"/>
    <w:rsid w:val="03434D0B"/>
    <w:rsid w:val="03822819"/>
    <w:rsid w:val="03957639"/>
    <w:rsid w:val="039E737B"/>
    <w:rsid w:val="03B15CE4"/>
    <w:rsid w:val="03C03EEA"/>
    <w:rsid w:val="03F15990"/>
    <w:rsid w:val="04114097"/>
    <w:rsid w:val="041754BE"/>
    <w:rsid w:val="04185AED"/>
    <w:rsid w:val="041B53D3"/>
    <w:rsid w:val="041B5D32"/>
    <w:rsid w:val="04201998"/>
    <w:rsid w:val="04202AD9"/>
    <w:rsid w:val="04224612"/>
    <w:rsid w:val="044669B0"/>
    <w:rsid w:val="044A1FE3"/>
    <w:rsid w:val="044C6D01"/>
    <w:rsid w:val="044D0D24"/>
    <w:rsid w:val="045C557C"/>
    <w:rsid w:val="045E05D1"/>
    <w:rsid w:val="0489689C"/>
    <w:rsid w:val="04BE74F8"/>
    <w:rsid w:val="04D11FF4"/>
    <w:rsid w:val="04D3038F"/>
    <w:rsid w:val="04FD4E46"/>
    <w:rsid w:val="05042B31"/>
    <w:rsid w:val="05064A7E"/>
    <w:rsid w:val="050B0DEE"/>
    <w:rsid w:val="050B51B4"/>
    <w:rsid w:val="056C330E"/>
    <w:rsid w:val="056D2061"/>
    <w:rsid w:val="05C16B3E"/>
    <w:rsid w:val="05CF278A"/>
    <w:rsid w:val="05F357FF"/>
    <w:rsid w:val="0613451C"/>
    <w:rsid w:val="062664F6"/>
    <w:rsid w:val="0633504E"/>
    <w:rsid w:val="063B5C18"/>
    <w:rsid w:val="06471833"/>
    <w:rsid w:val="06581024"/>
    <w:rsid w:val="06787F78"/>
    <w:rsid w:val="067D1360"/>
    <w:rsid w:val="068A296C"/>
    <w:rsid w:val="06C77A84"/>
    <w:rsid w:val="06D9594D"/>
    <w:rsid w:val="06E37146"/>
    <w:rsid w:val="06E8438D"/>
    <w:rsid w:val="07086694"/>
    <w:rsid w:val="074C207F"/>
    <w:rsid w:val="07567518"/>
    <w:rsid w:val="07695EBC"/>
    <w:rsid w:val="07880452"/>
    <w:rsid w:val="07913F4A"/>
    <w:rsid w:val="079632D3"/>
    <w:rsid w:val="07980C37"/>
    <w:rsid w:val="07A34667"/>
    <w:rsid w:val="07A730C9"/>
    <w:rsid w:val="07AB3419"/>
    <w:rsid w:val="07B812C5"/>
    <w:rsid w:val="07BD324E"/>
    <w:rsid w:val="07D12720"/>
    <w:rsid w:val="07E60DD6"/>
    <w:rsid w:val="07E717DA"/>
    <w:rsid w:val="081B6150"/>
    <w:rsid w:val="082C23EB"/>
    <w:rsid w:val="08850B79"/>
    <w:rsid w:val="088D3FE7"/>
    <w:rsid w:val="08977E5E"/>
    <w:rsid w:val="089D61D7"/>
    <w:rsid w:val="08A85A4F"/>
    <w:rsid w:val="08C61BC1"/>
    <w:rsid w:val="08C927D9"/>
    <w:rsid w:val="08CB2528"/>
    <w:rsid w:val="08F766B3"/>
    <w:rsid w:val="093E248F"/>
    <w:rsid w:val="09705E09"/>
    <w:rsid w:val="098E0F79"/>
    <w:rsid w:val="09952DF2"/>
    <w:rsid w:val="09BE4D38"/>
    <w:rsid w:val="09DF2335"/>
    <w:rsid w:val="09F2125A"/>
    <w:rsid w:val="0A0C1714"/>
    <w:rsid w:val="0A112B43"/>
    <w:rsid w:val="0A2C7DCC"/>
    <w:rsid w:val="0A31506F"/>
    <w:rsid w:val="0A515868"/>
    <w:rsid w:val="0A6C5F5F"/>
    <w:rsid w:val="0A791FC5"/>
    <w:rsid w:val="0A8476C5"/>
    <w:rsid w:val="0A9C7EBB"/>
    <w:rsid w:val="0AA209AE"/>
    <w:rsid w:val="0AA4335A"/>
    <w:rsid w:val="0AB36998"/>
    <w:rsid w:val="0AD04FA9"/>
    <w:rsid w:val="0B142BD0"/>
    <w:rsid w:val="0B1F5AA6"/>
    <w:rsid w:val="0B397EE3"/>
    <w:rsid w:val="0B4A66AF"/>
    <w:rsid w:val="0B4F00B3"/>
    <w:rsid w:val="0B5435F8"/>
    <w:rsid w:val="0B6468F7"/>
    <w:rsid w:val="0B8A38CD"/>
    <w:rsid w:val="0B937705"/>
    <w:rsid w:val="0B9555CC"/>
    <w:rsid w:val="0B970686"/>
    <w:rsid w:val="0B99222C"/>
    <w:rsid w:val="0BA802C8"/>
    <w:rsid w:val="0BA87D91"/>
    <w:rsid w:val="0BCA0FE2"/>
    <w:rsid w:val="0BCA7407"/>
    <w:rsid w:val="0C091195"/>
    <w:rsid w:val="0C0936C1"/>
    <w:rsid w:val="0C0D5776"/>
    <w:rsid w:val="0C1D645F"/>
    <w:rsid w:val="0C2764B5"/>
    <w:rsid w:val="0C475E14"/>
    <w:rsid w:val="0C4B1670"/>
    <w:rsid w:val="0C522AA6"/>
    <w:rsid w:val="0C6112C3"/>
    <w:rsid w:val="0C62338E"/>
    <w:rsid w:val="0C673227"/>
    <w:rsid w:val="0C937973"/>
    <w:rsid w:val="0CA1047C"/>
    <w:rsid w:val="0CD05913"/>
    <w:rsid w:val="0CF233BA"/>
    <w:rsid w:val="0CF56FCC"/>
    <w:rsid w:val="0D192DC3"/>
    <w:rsid w:val="0D28176B"/>
    <w:rsid w:val="0D321BCA"/>
    <w:rsid w:val="0D4230DE"/>
    <w:rsid w:val="0D4315AB"/>
    <w:rsid w:val="0D4B5B89"/>
    <w:rsid w:val="0D6B13CD"/>
    <w:rsid w:val="0D812DAF"/>
    <w:rsid w:val="0D89667C"/>
    <w:rsid w:val="0D9556A0"/>
    <w:rsid w:val="0DEA6EEB"/>
    <w:rsid w:val="0DEC5C3E"/>
    <w:rsid w:val="0E12158C"/>
    <w:rsid w:val="0E274AC3"/>
    <w:rsid w:val="0E2A63A8"/>
    <w:rsid w:val="0E2B580C"/>
    <w:rsid w:val="0E2D11BB"/>
    <w:rsid w:val="0E436C54"/>
    <w:rsid w:val="0E8017A0"/>
    <w:rsid w:val="0E8267DF"/>
    <w:rsid w:val="0ECE5EEE"/>
    <w:rsid w:val="0ED62E78"/>
    <w:rsid w:val="0EE012A4"/>
    <w:rsid w:val="0EE11737"/>
    <w:rsid w:val="0EED1D64"/>
    <w:rsid w:val="0EF936BE"/>
    <w:rsid w:val="0F127098"/>
    <w:rsid w:val="0F557341"/>
    <w:rsid w:val="0F656730"/>
    <w:rsid w:val="0F85366C"/>
    <w:rsid w:val="0F8F6917"/>
    <w:rsid w:val="0F9D2321"/>
    <w:rsid w:val="0FB13DB2"/>
    <w:rsid w:val="0FB55651"/>
    <w:rsid w:val="0FD75506"/>
    <w:rsid w:val="0FDE1A16"/>
    <w:rsid w:val="0FDE2BFB"/>
    <w:rsid w:val="0FE37294"/>
    <w:rsid w:val="0FE80A6D"/>
    <w:rsid w:val="0FEE5005"/>
    <w:rsid w:val="10062F0B"/>
    <w:rsid w:val="10174938"/>
    <w:rsid w:val="10243241"/>
    <w:rsid w:val="10285491"/>
    <w:rsid w:val="102E3DCB"/>
    <w:rsid w:val="103421CB"/>
    <w:rsid w:val="104278B7"/>
    <w:rsid w:val="104C2E37"/>
    <w:rsid w:val="10587213"/>
    <w:rsid w:val="105D401B"/>
    <w:rsid w:val="10760133"/>
    <w:rsid w:val="107802BA"/>
    <w:rsid w:val="107C3710"/>
    <w:rsid w:val="10A369E6"/>
    <w:rsid w:val="10F05F1E"/>
    <w:rsid w:val="10F94DBC"/>
    <w:rsid w:val="11000E15"/>
    <w:rsid w:val="11045588"/>
    <w:rsid w:val="111843F9"/>
    <w:rsid w:val="11257A2F"/>
    <w:rsid w:val="112D6462"/>
    <w:rsid w:val="11435E3D"/>
    <w:rsid w:val="118C0B79"/>
    <w:rsid w:val="11E0696C"/>
    <w:rsid w:val="11E31778"/>
    <w:rsid w:val="11F61FD6"/>
    <w:rsid w:val="11FE5970"/>
    <w:rsid w:val="12090B93"/>
    <w:rsid w:val="12232538"/>
    <w:rsid w:val="12494443"/>
    <w:rsid w:val="12523384"/>
    <w:rsid w:val="125A6583"/>
    <w:rsid w:val="1264141D"/>
    <w:rsid w:val="12952E37"/>
    <w:rsid w:val="12954AAC"/>
    <w:rsid w:val="129A50AC"/>
    <w:rsid w:val="12A248AE"/>
    <w:rsid w:val="12A35133"/>
    <w:rsid w:val="12F029BC"/>
    <w:rsid w:val="13120E50"/>
    <w:rsid w:val="13163ABA"/>
    <w:rsid w:val="1318667F"/>
    <w:rsid w:val="13263AF8"/>
    <w:rsid w:val="133112DE"/>
    <w:rsid w:val="134C1032"/>
    <w:rsid w:val="13570778"/>
    <w:rsid w:val="135D49D0"/>
    <w:rsid w:val="136833C9"/>
    <w:rsid w:val="137272FE"/>
    <w:rsid w:val="13912E37"/>
    <w:rsid w:val="139A085F"/>
    <w:rsid w:val="13AB7795"/>
    <w:rsid w:val="13C529FC"/>
    <w:rsid w:val="13E56C9C"/>
    <w:rsid w:val="13F65586"/>
    <w:rsid w:val="13F9276D"/>
    <w:rsid w:val="14137F73"/>
    <w:rsid w:val="14234A90"/>
    <w:rsid w:val="143801A2"/>
    <w:rsid w:val="144E6D63"/>
    <w:rsid w:val="145D5BBC"/>
    <w:rsid w:val="14846ECB"/>
    <w:rsid w:val="14874683"/>
    <w:rsid w:val="1493771A"/>
    <w:rsid w:val="149A57C1"/>
    <w:rsid w:val="14A75FF5"/>
    <w:rsid w:val="14AC22A1"/>
    <w:rsid w:val="14B67A54"/>
    <w:rsid w:val="14C10E54"/>
    <w:rsid w:val="14D81621"/>
    <w:rsid w:val="14E443FD"/>
    <w:rsid w:val="15137E60"/>
    <w:rsid w:val="153937A5"/>
    <w:rsid w:val="15535D51"/>
    <w:rsid w:val="15970CB2"/>
    <w:rsid w:val="15AB4DD8"/>
    <w:rsid w:val="15B5242F"/>
    <w:rsid w:val="15B863EC"/>
    <w:rsid w:val="15DA78C4"/>
    <w:rsid w:val="160C4F2F"/>
    <w:rsid w:val="16106976"/>
    <w:rsid w:val="162A3688"/>
    <w:rsid w:val="162C632B"/>
    <w:rsid w:val="16526904"/>
    <w:rsid w:val="167C7962"/>
    <w:rsid w:val="16861550"/>
    <w:rsid w:val="16952113"/>
    <w:rsid w:val="16986803"/>
    <w:rsid w:val="16AE1659"/>
    <w:rsid w:val="16C83DC8"/>
    <w:rsid w:val="16EF5E6A"/>
    <w:rsid w:val="16F25D00"/>
    <w:rsid w:val="16F80C79"/>
    <w:rsid w:val="16FE2920"/>
    <w:rsid w:val="1719438C"/>
    <w:rsid w:val="172B0A4C"/>
    <w:rsid w:val="175064AB"/>
    <w:rsid w:val="17515581"/>
    <w:rsid w:val="17601BFE"/>
    <w:rsid w:val="17655C25"/>
    <w:rsid w:val="176A2B89"/>
    <w:rsid w:val="177A2CE9"/>
    <w:rsid w:val="17812253"/>
    <w:rsid w:val="178604A1"/>
    <w:rsid w:val="178F6BF6"/>
    <w:rsid w:val="17A42AD8"/>
    <w:rsid w:val="17B05793"/>
    <w:rsid w:val="17B5312C"/>
    <w:rsid w:val="17F10059"/>
    <w:rsid w:val="17F934BC"/>
    <w:rsid w:val="18445111"/>
    <w:rsid w:val="18501F5E"/>
    <w:rsid w:val="18864058"/>
    <w:rsid w:val="18AE15DF"/>
    <w:rsid w:val="18B10DD1"/>
    <w:rsid w:val="18B12041"/>
    <w:rsid w:val="18BF2380"/>
    <w:rsid w:val="18D32B13"/>
    <w:rsid w:val="18D65B46"/>
    <w:rsid w:val="18E356AB"/>
    <w:rsid w:val="19004BDB"/>
    <w:rsid w:val="19076BBA"/>
    <w:rsid w:val="191E76CF"/>
    <w:rsid w:val="19283042"/>
    <w:rsid w:val="193827E5"/>
    <w:rsid w:val="19407BB5"/>
    <w:rsid w:val="194E5234"/>
    <w:rsid w:val="199107CC"/>
    <w:rsid w:val="19A52155"/>
    <w:rsid w:val="19A524ED"/>
    <w:rsid w:val="19B32259"/>
    <w:rsid w:val="19BC216C"/>
    <w:rsid w:val="19D26C94"/>
    <w:rsid w:val="19E01723"/>
    <w:rsid w:val="19EC6D59"/>
    <w:rsid w:val="19F411EB"/>
    <w:rsid w:val="19FE730F"/>
    <w:rsid w:val="1A081B82"/>
    <w:rsid w:val="1A443A81"/>
    <w:rsid w:val="1A476825"/>
    <w:rsid w:val="1A4F0D63"/>
    <w:rsid w:val="1A592491"/>
    <w:rsid w:val="1A5933D1"/>
    <w:rsid w:val="1A6A3B3D"/>
    <w:rsid w:val="1A6F2300"/>
    <w:rsid w:val="1A8570D1"/>
    <w:rsid w:val="1A9F41BC"/>
    <w:rsid w:val="1AAE5A77"/>
    <w:rsid w:val="1AD635F1"/>
    <w:rsid w:val="1AEE3C14"/>
    <w:rsid w:val="1AF52ADA"/>
    <w:rsid w:val="1AFF2532"/>
    <w:rsid w:val="1B24342B"/>
    <w:rsid w:val="1B514C4A"/>
    <w:rsid w:val="1B5D786B"/>
    <w:rsid w:val="1B5F1832"/>
    <w:rsid w:val="1B6071FD"/>
    <w:rsid w:val="1B8337A4"/>
    <w:rsid w:val="1B921C1E"/>
    <w:rsid w:val="1B9B691D"/>
    <w:rsid w:val="1BA2216D"/>
    <w:rsid w:val="1BAC17F3"/>
    <w:rsid w:val="1BBA5A08"/>
    <w:rsid w:val="1BCF1ED6"/>
    <w:rsid w:val="1BE752E9"/>
    <w:rsid w:val="1C114DBD"/>
    <w:rsid w:val="1C13164D"/>
    <w:rsid w:val="1C196354"/>
    <w:rsid w:val="1C285D29"/>
    <w:rsid w:val="1C3064CA"/>
    <w:rsid w:val="1C396755"/>
    <w:rsid w:val="1C447177"/>
    <w:rsid w:val="1C4A4D4E"/>
    <w:rsid w:val="1C4E0F4F"/>
    <w:rsid w:val="1C845397"/>
    <w:rsid w:val="1CAA7B4C"/>
    <w:rsid w:val="1CAD2CCB"/>
    <w:rsid w:val="1CC97B98"/>
    <w:rsid w:val="1CD67D0E"/>
    <w:rsid w:val="1CDF05A0"/>
    <w:rsid w:val="1D0969A1"/>
    <w:rsid w:val="1D3124DE"/>
    <w:rsid w:val="1D480708"/>
    <w:rsid w:val="1D4A7E55"/>
    <w:rsid w:val="1D806D78"/>
    <w:rsid w:val="1D8334AA"/>
    <w:rsid w:val="1D9175BE"/>
    <w:rsid w:val="1D942AED"/>
    <w:rsid w:val="1DA824A5"/>
    <w:rsid w:val="1DD81A7D"/>
    <w:rsid w:val="1E0823AD"/>
    <w:rsid w:val="1E1A1C07"/>
    <w:rsid w:val="1E2927F9"/>
    <w:rsid w:val="1E2D5FC1"/>
    <w:rsid w:val="1E322EC4"/>
    <w:rsid w:val="1E37679E"/>
    <w:rsid w:val="1E3C6C67"/>
    <w:rsid w:val="1E464E62"/>
    <w:rsid w:val="1E7F0402"/>
    <w:rsid w:val="1E861088"/>
    <w:rsid w:val="1E9F7A46"/>
    <w:rsid w:val="1EC05070"/>
    <w:rsid w:val="1ED455B4"/>
    <w:rsid w:val="1EF451A8"/>
    <w:rsid w:val="1EFD5B7B"/>
    <w:rsid w:val="1F271E97"/>
    <w:rsid w:val="1F343FD8"/>
    <w:rsid w:val="1FA863B1"/>
    <w:rsid w:val="1FC84FB9"/>
    <w:rsid w:val="20053F14"/>
    <w:rsid w:val="2025589E"/>
    <w:rsid w:val="203C608A"/>
    <w:rsid w:val="207040A9"/>
    <w:rsid w:val="208A5C65"/>
    <w:rsid w:val="208B09D7"/>
    <w:rsid w:val="20AF796C"/>
    <w:rsid w:val="20C557AF"/>
    <w:rsid w:val="20C74B04"/>
    <w:rsid w:val="20CC0F16"/>
    <w:rsid w:val="20CC6B4F"/>
    <w:rsid w:val="20D1126B"/>
    <w:rsid w:val="210C0DFC"/>
    <w:rsid w:val="21127B12"/>
    <w:rsid w:val="21181267"/>
    <w:rsid w:val="213D7958"/>
    <w:rsid w:val="21470D95"/>
    <w:rsid w:val="214C25FD"/>
    <w:rsid w:val="215D699D"/>
    <w:rsid w:val="217D5D83"/>
    <w:rsid w:val="21A10414"/>
    <w:rsid w:val="21A90FE7"/>
    <w:rsid w:val="21B93446"/>
    <w:rsid w:val="21BB0E25"/>
    <w:rsid w:val="21BC0011"/>
    <w:rsid w:val="21CB27DD"/>
    <w:rsid w:val="21E00510"/>
    <w:rsid w:val="21ED063F"/>
    <w:rsid w:val="21FA6C0D"/>
    <w:rsid w:val="220266B3"/>
    <w:rsid w:val="222D21C7"/>
    <w:rsid w:val="222D69E8"/>
    <w:rsid w:val="223371FF"/>
    <w:rsid w:val="22415215"/>
    <w:rsid w:val="225218B7"/>
    <w:rsid w:val="228F409C"/>
    <w:rsid w:val="22A47664"/>
    <w:rsid w:val="22AF244B"/>
    <w:rsid w:val="22B43C1B"/>
    <w:rsid w:val="22CF1C58"/>
    <w:rsid w:val="22DD359E"/>
    <w:rsid w:val="22F2386B"/>
    <w:rsid w:val="2321335D"/>
    <w:rsid w:val="232C28B4"/>
    <w:rsid w:val="23384B94"/>
    <w:rsid w:val="23421884"/>
    <w:rsid w:val="2342393E"/>
    <w:rsid w:val="234C2D43"/>
    <w:rsid w:val="235E0CE9"/>
    <w:rsid w:val="235E48B1"/>
    <w:rsid w:val="23620463"/>
    <w:rsid w:val="23717075"/>
    <w:rsid w:val="23775D17"/>
    <w:rsid w:val="23791D87"/>
    <w:rsid w:val="239C0D65"/>
    <w:rsid w:val="23A51F37"/>
    <w:rsid w:val="23AA6CA0"/>
    <w:rsid w:val="23B667A8"/>
    <w:rsid w:val="23D1524F"/>
    <w:rsid w:val="23F9387C"/>
    <w:rsid w:val="23FB265B"/>
    <w:rsid w:val="240C6574"/>
    <w:rsid w:val="243A42FC"/>
    <w:rsid w:val="243B2419"/>
    <w:rsid w:val="243D1E45"/>
    <w:rsid w:val="24420024"/>
    <w:rsid w:val="24521122"/>
    <w:rsid w:val="245A5ECC"/>
    <w:rsid w:val="24AA1408"/>
    <w:rsid w:val="24B70D41"/>
    <w:rsid w:val="24D52850"/>
    <w:rsid w:val="24ED3DFD"/>
    <w:rsid w:val="24F10120"/>
    <w:rsid w:val="24FC2597"/>
    <w:rsid w:val="25101B66"/>
    <w:rsid w:val="254E39E4"/>
    <w:rsid w:val="25552928"/>
    <w:rsid w:val="25615078"/>
    <w:rsid w:val="257634AE"/>
    <w:rsid w:val="257F66EE"/>
    <w:rsid w:val="259742C4"/>
    <w:rsid w:val="25A105D9"/>
    <w:rsid w:val="25DA3B4B"/>
    <w:rsid w:val="25E22898"/>
    <w:rsid w:val="26273777"/>
    <w:rsid w:val="2636146D"/>
    <w:rsid w:val="26377E04"/>
    <w:rsid w:val="265F0F7E"/>
    <w:rsid w:val="26752F82"/>
    <w:rsid w:val="267E17EC"/>
    <w:rsid w:val="268A1FF5"/>
    <w:rsid w:val="26A403A7"/>
    <w:rsid w:val="26B82695"/>
    <w:rsid w:val="26C46E5C"/>
    <w:rsid w:val="26D1651A"/>
    <w:rsid w:val="26F62484"/>
    <w:rsid w:val="26FB1445"/>
    <w:rsid w:val="26FC4B5A"/>
    <w:rsid w:val="270359A3"/>
    <w:rsid w:val="270512F4"/>
    <w:rsid w:val="27117C13"/>
    <w:rsid w:val="271C3789"/>
    <w:rsid w:val="273657C6"/>
    <w:rsid w:val="27415126"/>
    <w:rsid w:val="27684978"/>
    <w:rsid w:val="27776350"/>
    <w:rsid w:val="2780585F"/>
    <w:rsid w:val="27904DDD"/>
    <w:rsid w:val="27A57B87"/>
    <w:rsid w:val="27AB1BA9"/>
    <w:rsid w:val="27CA0A05"/>
    <w:rsid w:val="280606E2"/>
    <w:rsid w:val="282A3AAD"/>
    <w:rsid w:val="282F08EF"/>
    <w:rsid w:val="283173C5"/>
    <w:rsid w:val="2841584C"/>
    <w:rsid w:val="28443BEE"/>
    <w:rsid w:val="2848165B"/>
    <w:rsid w:val="28573C5D"/>
    <w:rsid w:val="285B2BD7"/>
    <w:rsid w:val="287440DC"/>
    <w:rsid w:val="287F2FB8"/>
    <w:rsid w:val="28815231"/>
    <w:rsid w:val="28834A8C"/>
    <w:rsid w:val="28CA0DD9"/>
    <w:rsid w:val="291D0583"/>
    <w:rsid w:val="292560A3"/>
    <w:rsid w:val="29275216"/>
    <w:rsid w:val="294B3154"/>
    <w:rsid w:val="294C143F"/>
    <w:rsid w:val="298811E7"/>
    <w:rsid w:val="298C37EE"/>
    <w:rsid w:val="298D3238"/>
    <w:rsid w:val="299467B1"/>
    <w:rsid w:val="299E79C2"/>
    <w:rsid w:val="29B42DEC"/>
    <w:rsid w:val="29DC3B40"/>
    <w:rsid w:val="29DD3D85"/>
    <w:rsid w:val="29E21085"/>
    <w:rsid w:val="2A08790D"/>
    <w:rsid w:val="2A0F0B60"/>
    <w:rsid w:val="2A382397"/>
    <w:rsid w:val="2A4E1CBF"/>
    <w:rsid w:val="2A623555"/>
    <w:rsid w:val="2A6C2061"/>
    <w:rsid w:val="2A853772"/>
    <w:rsid w:val="2A8D4A69"/>
    <w:rsid w:val="2A9B7556"/>
    <w:rsid w:val="2AA82500"/>
    <w:rsid w:val="2AA954BB"/>
    <w:rsid w:val="2AD978D1"/>
    <w:rsid w:val="2AE57CF0"/>
    <w:rsid w:val="2AE60D5B"/>
    <w:rsid w:val="2B0519EE"/>
    <w:rsid w:val="2B1E007C"/>
    <w:rsid w:val="2B333E42"/>
    <w:rsid w:val="2B7710DB"/>
    <w:rsid w:val="2B8F56BA"/>
    <w:rsid w:val="2B9F3549"/>
    <w:rsid w:val="2BAB17C6"/>
    <w:rsid w:val="2BBC7097"/>
    <w:rsid w:val="2C0A40FF"/>
    <w:rsid w:val="2C3A2064"/>
    <w:rsid w:val="2C924B5E"/>
    <w:rsid w:val="2CBB08F0"/>
    <w:rsid w:val="2CBE78DD"/>
    <w:rsid w:val="2CBF3575"/>
    <w:rsid w:val="2CCC1953"/>
    <w:rsid w:val="2CEF619A"/>
    <w:rsid w:val="2CF807B4"/>
    <w:rsid w:val="2CF81A1D"/>
    <w:rsid w:val="2CF912B6"/>
    <w:rsid w:val="2CFC33C0"/>
    <w:rsid w:val="2CFF39C1"/>
    <w:rsid w:val="2D09392E"/>
    <w:rsid w:val="2D1535E5"/>
    <w:rsid w:val="2D1926F0"/>
    <w:rsid w:val="2D1F5C70"/>
    <w:rsid w:val="2D3C63F0"/>
    <w:rsid w:val="2D6B5BDE"/>
    <w:rsid w:val="2D7D0A9A"/>
    <w:rsid w:val="2D947B35"/>
    <w:rsid w:val="2DC604DC"/>
    <w:rsid w:val="2DC642A6"/>
    <w:rsid w:val="2DCD3699"/>
    <w:rsid w:val="2DD20BEE"/>
    <w:rsid w:val="2E6F3AF2"/>
    <w:rsid w:val="2E70021D"/>
    <w:rsid w:val="2E70057F"/>
    <w:rsid w:val="2E7176DD"/>
    <w:rsid w:val="2E793077"/>
    <w:rsid w:val="2E7B47B4"/>
    <w:rsid w:val="2E8676E9"/>
    <w:rsid w:val="2E8E1C11"/>
    <w:rsid w:val="2E8E5B1A"/>
    <w:rsid w:val="2EAD34DE"/>
    <w:rsid w:val="2EB360CC"/>
    <w:rsid w:val="2ED851A6"/>
    <w:rsid w:val="2EF70282"/>
    <w:rsid w:val="2F454304"/>
    <w:rsid w:val="2F4A55E4"/>
    <w:rsid w:val="2F7572B6"/>
    <w:rsid w:val="2F7679D5"/>
    <w:rsid w:val="2F7C1374"/>
    <w:rsid w:val="2F950E94"/>
    <w:rsid w:val="2F967082"/>
    <w:rsid w:val="2F967972"/>
    <w:rsid w:val="2FB273C9"/>
    <w:rsid w:val="2FC56149"/>
    <w:rsid w:val="2FDA5DF8"/>
    <w:rsid w:val="2FDF71B7"/>
    <w:rsid w:val="2FFD017F"/>
    <w:rsid w:val="301A200B"/>
    <w:rsid w:val="30225781"/>
    <w:rsid w:val="3031105E"/>
    <w:rsid w:val="30545726"/>
    <w:rsid w:val="305F3158"/>
    <w:rsid w:val="30656C52"/>
    <w:rsid w:val="308515A7"/>
    <w:rsid w:val="308905D5"/>
    <w:rsid w:val="30C056FE"/>
    <w:rsid w:val="30C64A36"/>
    <w:rsid w:val="30E91E01"/>
    <w:rsid w:val="310C02C5"/>
    <w:rsid w:val="31144F99"/>
    <w:rsid w:val="313C2CE3"/>
    <w:rsid w:val="3165538A"/>
    <w:rsid w:val="31764708"/>
    <w:rsid w:val="319F1983"/>
    <w:rsid w:val="31A532C2"/>
    <w:rsid w:val="31A61489"/>
    <w:rsid w:val="31FF150F"/>
    <w:rsid w:val="32007F54"/>
    <w:rsid w:val="32347C16"/>
    <w:rsid w:val="32382203"/>
    <w:rsid w:val="323B4346"/>
    <w:rsid w:val="32584E0A"/>
    <w:rsid w:val="325E3824"/>
    <w:rsid w:val="32654554"/>
    <w:rsid w:val="32657BA6"/>
    <w:rsid w:val="327B4D16"/>
    <w:rsid w:val="328D4010"/>
    <w:rsid w:val="32961F9D"/>
    <w:rsid w:val="32C22BF2"/>
    <w:rsid w:val="32E0776D"/>
    <w:rsid w:val="336015C6"/>
    <w:rsid w:val="33715D9F"/>
    <w:rsid w:val="3389672A"/>
    <w:rsid w:val="33B22CFA"/>
    <w:rsid w:val="33D23E9C"/>
    <w:rsid w:val="33D37F74"/>
    <w:rsid w:val="33D94D93"/>
    <w:rsid w:val="340044DD"/>
    <w:rsid w:val="341378CA"/>
    <w:rsid w:val="342B1D76"/>
    <w:rsid w:val="34325434"/>
    <w:rsid w:val="343A2881"/>
    <w:rsid w:val="347723B5"/>
    <w:rsid w:val="34A01641"/>
    <w:rsid w:val="34B44294"/>
    <w:rsid w:val="34FD14F7"/>
    <w:rsid w:val="34FE76C7"/>
    <w:rsid w:val="351F60E4"/>
    <w:rsid w:val="35385B86"/>
    <w:rsid w:val="355D2BA2"/>
    <w:rsid w:val="357E20B2"/>
    <w:rsid w:val="35815C41"/>
    <w:rsid w:val="35A90920"/>
    <w:rsid w:val="35A945AD"/>
    <w:rsid w:val="35C05DBF"/>
    <w:rsid w:val="35D72365"/>
    <w:rsid w:val="35E27246"/>
    <w:rsid w:val="35E94393"/>
    <w:rsid w:val="35EA647F"/>
    <w:rsid w:val="35F317A7"/>
    <w:rsid w:val="36011971"/>
    <w:rsid w:val="36046CE5"/>
    <w:rsid w:val="36052FD1"/>
    <w:rsid w:val="36335F3C"/>
    <w:rsid w:val="36355679"/>
    <w:rsid w:val="363B204C"/>
    <w:rsid w:val="36465B3D"/>
    <w:rsid w:val="36493235"/>
    <w:rsid w:val="366F64A7"/>
    <w:rsid w:val="367817D9"/>
    <w:rsid w:val="368D50FE"/>
    <w:rsid w:val="369650FC"/>
    <w:rsid w:val="36B058D2"/>
    <w:rsid w:val="36EE3A1E"/>
    <w:rsid w:val="36F87DC8"/>
    <w:rsid w:val="37184C90"/>
    <w:rsid w:val="371E10FB"/>
    <w:rsid w:val="37450F17"/>
    <w:rsid w:val="37651513"/>
    <w:rsid w:val="377B09CD"/>
    <w:rsid w:val="378B2618"/>
    <w:rsid w:val="37D40632"/>
    <w:rsid w:val="37D759AD"/>
    <w:rsid w:val="37EA7943"/>
    <w:rsid w:val="37F70B43"/>
    <w:rsid w:val="38497CE6"/>
    <w:rsid w:val="3850143F"/>
    <w:rsid w:val="386046D8"/>
    <w:rsid w:val="389803D9"/>
    <w:rsid w:val="389C74CF"/>
    <w:rsid w:val="38CF1C18"/>
    <w:rsid w:val="38E572F5"/>
    <w:rsid w:val="38E945A4"/>
    <w:rsid w:val="390D2C77"/>
    <w:rsid w:val="39235620"/>
    <w:rsid w:val="392D433D"/>
    <w:rsid w:val="39313125"/>
    <w:rsid w:val="39404DA9"/>
    <w:rsid w:val="396C0E19"/>
    <w:rsid w:val="3978141D"/>
    <w:rsid w:val="398726F2"/>
    <w:rsid w:val="39AE5461"/>
    <w:rsid w:val="39EA4795"/>
    <w:rsid w:val="39EA6B68"/>
    <w:rsid w:val="3A075459"/>
    <w:rsid w:val="3A0B2EBF"/>
    <w:rsid w:val="3A364AA5"/>
    <w:rsid w:val="3A5D4B15"/>
    <w:rsid w:val="3A65551D"/>
    <w:rsid w:val="3A756D39"/>
    <w:rsid w:val="3A796740"/>
    <w:rsid w:val="3A9B60DC"/>
    <w:rsid w:val="3AAD2351"/>
    <w:rsid w:val="3AB069F2"/>
    <w:rsid w:val="3ADF6A76"/>
    <w:rsid w:val="3AE60841"/>
    <w:rsid w:val="3AE65367"/>
    <w:rsid w:val="3AEF1F50"/>
    <w:rsid w:val="3B131515"/>
    <w:rsid w:val="3B2A7CCB"/>
    <w:rsid w:val="3B2E494B"/>
    <w:rsid w:val="3B440CA8"/>
    <w:rsid w:val="3B5B2CBA"/>
    <w:rsid w:val="3B725E1E"/>
    <w:rsid w:val="3B7A0503"/>
    <w:rsid w:val="3B7A1ABB"/>
    <w:rsid w:val="3B7B44EA"/>
    <w:rsid w:val="3B8712BC"/>
    <w:rsid w:val="3B874C67"/>
    <w:rsid w:val="3B9A72B7"/>
    <w:rsid w:val="3B9E4980"/>
    <w:rsid w:val="3BA57C2B"/>
    <w:rsid w:val="3BA7493A"/>
    <w:rsid w:val="3BB25A37"/>
    <w:rsid w:val="3BC43647"/>
    <w:rsid w:val="3BD7144A"/>
    <w:rsid w:val="3BD90D30"/>
    <w:rsid w:val="3BEE1FB8"/>
    <w:rsid w:val="3C091006"/>
    <w:rsid w:val="3C1E54B1"/>
    <w:rsid w:val="3C2773C6"/>
    <w:rsid w:val="3C675664"/>
    <w:rsid w:val="3C6B2BF0"/>
    <w:rsid w:val="3C6E257B"/>
    <w:rsid w:val="3C796480"/>
    <w:rsid w:val="3C876D94"/>
    <w:rsid w:val="3C8857DE"/>
    <w:rsid w:val="3C9673C9"/>
    <w:rsid w:val="3CB255C6"/>
    <w:rsid w:val="3CD33DE7"/>
    <w:rsid w:val="3D2158B5"/>
    <w:rsid w:val="3D354622"/>
    <w:rsid w:val="3D5A1A09"/>
    <w:rsid w:val="3D6639C2"/>
    <w:rsid w:val="3DA31CA7"/>
    <w:rsid w:val="3DC43B53"/>
    <w:rsid w:val="3DD84B77"/>
    <w:rsid w:val="3DE052A0"/>
    <w:rsid w:val="3DE2125F"/>
    <w:rsid w:val="3DE32B48"/>
    <w:rsid w:val="3DE37629"/>
    <w:rsid w:val="3DE74966"/>
    <w:rsid w:val="3DF65949"/>
    <w:rsid w:val="3DF953E0"/>
    <w:rsid w:val="3E071F01"/>
    <w:rsid w:val="3E0B6BA3"/>
    <w:rsid w:val="3E1E7D6F"/>
    <w:rsid w:val="3E1F295F"/>
    <w:rsid w:val="3E206F52"/>
    <w:rsid w:val="3E2F2B20"/>
    <w:rsid w:val="3E4C4863"/>
    <w:rsid w:val="3E5376ED"/>
    <w:rsid w:val="3E842268"/>
    <w:rsid w:val="3EB40C1D"/>
    <w:rsid w:val="3EC2282F"/>
    <w:rsid w:val="3ECF2B24"/>
    <w:rsid w:val="3ED60137"/>
    <w:rsid w:val="3EE10315"/>
    <w:rsid w:val="3EE170E3"/>
    <w:rsid w:val="3EF73F1E"/>
    <w:rsid w:val="3EFD7E73"/>
    <w:rsid w:val="3F336AF6"/>
    <w:rsid w:val="3F423AC7"/>
    <w:rsid w:val="3F5E1B0A"/>
    <w:rsid w:val="3F630B48"/>
    <w:rsid w:val="3F702FC0"/>
    <w:rsid w:val="3F8D750E"/>
    <w:rsid w:val="3F8F22AD"/>
    <w:rsid w:val="3F986AE2"/>
    <w:rsid w:val="3FC37FBA"/>
    <w:rsid w:val="3FCA3ED5"/>
    <w:rsid w:val="3FEF32CD"/>
    <w:rsid w:val="401255E0"/>
    <w:rsid w:val="407E17BE"/>
    <w:rsid w:val="409A50A4"/>
    <w:rsid w:val="40B9712D"/>
    <w:rsid w:val="40BC61A1"/>
    <w:rsid w:val="40C21A16"/>
    <w:rsid w:val="40E568F3"/>
    <w:rsid w:val="412939D7"/>
    <w:rsid w:val="41363A59"/>
    <w:rsid w:val="41425F9B"/>
    <w:rsid w:val="415C6039"/>
    <w:rsid w:val="417541F4"/>
    <w:rsid w:val="41817404"/>
    <w:rsid w:val="418A4247"/>
    <w:rsid w:val="41CF748F"/>
    <w:rsid w:val="41D7324F"/>
    <w:rsid w:val="41D73330"/>
    <w:rsid w:val="425F5813"/>
    <w:rsid w:val="426D184A"/>
    <w:rsid w:val="427C2B99"/>
    <w:rsid w:val="428F378D"/>
    <w:rsid w:val="42915D7A"/>
    <w:rsid w:val="42943428"/>
    <w:rsid w:val="42B80C36"/>
    <w:rsid w:val="42B83C03"/>
    <w:rsid w:val="42F147FF"/>
    <w:rsid w:val="42FA1D5A"/>
    <w:rsid w:val="42FC09C2"/>
    <w:rsid w:val="43095AFD"/>
    <w:rsid w:val="43264DFB"/>
    <w:rsid w:val="434A2F38"/>
    <w:rsid w:val="435C5B04"/>
    <w:rsid w:val="43D57F11"/>
    <w:rsid w:val="43E834A1"/>
    <w:rsid w:val="43F65184"/>
    <w:rsid w:val="440F533A"/>
    <w:rsid w:val="44280FB7"/>
    <w:rsid w:val="444511C3"/>
    <w:rsid w:val="44456D36"/>
    <w:rsid w:val="444B4516"/>
    <w:rsid w:val="44565AA3"/>
    <w:rsid w:val="445F44F3"/>
    <w:rsid w:val="446912D8"/>
    <w:rsid w:val="4498192B"/>
    <w:rsid w:val="44A837DF"/>
    <w:rsid w:val="44C13FB1"/>
    <w:rsid w:val="44D917D2"/>
    <w:rsid w:val="44E01BE2"/>
    <w:rsid w:val="44EC32E7"/>
    <w:rsid w:val="4523679B"/>
    <w:rsid w:val="45303236"/>
    <w:rsid w:val="453C30B3"/>
    <w:rsid w:val="45970C2C"/>
    <w:rsid w:val="45A04289"/>
    <w:rsid w:val="45B74D3E"/>
    <w:rsid w:val="45C750AB"/>
    <w:rsid w:val="45E34353"/>
    <w:rsid w:val="46007DBA"/>
    <w:rsid w:val="46046358"/>
    <w:rsid w:val="463C48F1"/>
    <w:rsid w:val="46791F16"/>
    <w:rsid w:val="467B3196"/>
    <w:rsid w:val="46971C14"/>
    <w:rsid w:val="46B55167"/>
    <w:rsid w:val="471D1201"/>
    <w:rsid w:val="4727764B"/>
    <w:rsid w:val="473338E5"/>
    <w:rsid w:val="473D631E"/>
    <w:rsid w:val="47523626"/>
    <w:rsid w:val="4754080F"/>
    <w:rsid w:val="475E16EF"/>
    <w:rsid w:val="476A25D0"/>
    <w:rsid w:val="47734DBA"/>
    <w:rsid w:val="477B146D"/>
    <w:rsid w:val="477D4691"/>
    <w:rsid w:val="47D02738"/>
    <w:rsid w:val="47D57E05"/>
    <w:rsid w:val="47E968AD"/>
    <w:rsid w:val="47F83429"/>
    <w:rsid w:val="48042632"/>
    <w:rsid w:val="482821BE"/>
    <w:rsid w:val="482A0871"/>
    <w:rsid w:val="482A26CF"/>
    <w:rsid w:val="48311451"/>
    <w:rsid w:val="485E7D60"/>
    <w:rsid w:val="48632DA0"/>
    <w:rsid w:val="48692955"/>
    <w:rsid w:val="487F4BA4"/>
    <w:rsid w:val="48840D5B"/>
    <w:rsid w:val="48906C70"/>
    <w:rsid w:val="48D231D3"/>
    <w:rsid w:val="48D64E76"/>
    <w:rsid w:val="48D8399F"/>
    <w:rsid w:val="490A320E"/>
    <w:rsid w:val="491153C8"/>
    <w:rsid w:val="49415A7C"/>
    <w:rsid w:val="49475AEC"/>
    <w:rsid w:val="49656199"/>
    <w:rsid w:val="49A0004C"/>
    <w:rsid w:val="49CC2080"/>
    <w:rsid w:val="49D31C47"/>
    <w:rsid w:val="49EF7C2C"/>
    <w:rsid w:val="4A0F6101"/>
    <w:rsid w:val="4A12125B"/>
    <w:rsid w:val="4A201304"/>
    <w:rsid w:val="4A317A17"/>
    <w:rsid w:val="4A4B2D4C"/>
    <w:rsid w:val="4A4C6B26"/>
    <w:rsid w:val="4A56333C"/>
    <w:rsid w:val="4A7D0414"/>
    <w:rsid w:val="4A883020"/>
    <w:rsid w:val="4A973982"/>
    <w:rsid w:val="4ADE5B6F"/>
    <w:rsid w:val="4AE7421E"/>
    <w:rsid w:val="4B022A27"/>
    <w:rsid w:val="4B2A30EB"/>
    <w:rsid w:val="4B392CDB"/>
    <w:rsid w:val="4B590FC4"/>
    <w:rsid w:val="4B5B6E04"/>
    <w:rsid w:val="4B77713A"/>
    <w:rsid w:val="4B7E6773"/>
    <w:rsid w:val="4B91648F"/>
    <w:rsid w:val="4B9F7EE5"/>
    <w:rsid w:val="4BA86B58"/>
    <w:rsid w:val="4BC205E4"/>
    <w:rsid w:val="4BCE0DC8"/>
    <w:rsid w:val="4BCF219C"/>
    <w:rsid w:val="4BD22A92"/>
    <w:rsid w:val="4BD41AEB"/>
    <w:rsid w:val="4BDD5B55"/>
    <w:rsid w:val="4BF010E2"/>
    <w:rsid w:val="4C433B28"/>
    <w:rsid w:val="4C4977F9"/>
    <w:rsid w:val="4C4D0EC8"/>
    <w:rsid w:val="4C5F7559"/>
    <w:rsid w:val="4C751632"/>
    <w:rsid w:val="4C7B2D5A"/>
    <w:rsid w:val="4C866B07"/>
    <w:rsid w:val="4C9261B9"/>
    <w:rsid w:val="4CB06BC2"/>
    <w:rsid w:val="4CB32621"/>
    <w:rsid w:val="4CC00338"/>
    <w:rsid w:val="4CCA6E03"/>
    <w:rsid w:val="4D2C79DE"/>
    <w:rsid w:val="4D3A6C2D"/>
    <w:rsid w:val="4D5930B1"/>
    <w:rsid w:val="4D6663E1"/>
    <w:rsid w:val="4DA01189"/>
    <w:rsid w:val="4DBC75B1"/>
    <w:rsid w:val="4DDB6F64"/>
    <w:rsid w:val="4DFA41BA"/>
    <w:rsid w:val="4E27360D"/>
    <w:rsid w:val="4E6215D1"/>
    <w:rsid w:val="4E755CC0"/>
    <w:rsid w:val="4E8D6681"/>
    <w:rsid w:val="4E943815"/>
    <w:rsid w:val="4E992228"/>
    <w:rsid w:val="4E9C3CC7"/>
    <w:rsid w:val="4EB05212"/>
    <w:rsid w:val="4EC11FBF"/>
    <w:rsid w:val="4EF22566"/>
    <w:rsid w:val="4F01026E"/>
    <w:rsid w:val="4F122D58"/>
    <w:rsid w:val="4F1B45E3"/>
    <w:rsid w:val="4F3757E0"/>
    <w:rsid w:val="4F402D17"/>
    <w:rsid w:val="4F637C7F"/>
    <w:rsid w:val="4F8653A2"/>
    <w:rsid w:val="4F8A7FA6"/>
    <w:rsid w:val="4F8E07F5"/>
    <w:rsid w:val="4F9115F3"/>
    <w:rsid w:val="4FA91625"/>
    <w:rsid w:val="4FBE120C"/>
    <w:rsid w:val="4FE026FF"/>
    <w:rsid w:val="4FE045DD"/>
    <w:rsid w:val="50242119"/>
    <w:rsid w:val="502F172F"/>
    <w:rsid w:val="5066082D"/>
    <w:rsid w:val="50692980"/>
    <w:rsid w:val="506A22B2"/>
    <w:rsid w:val="50713258"/>
    <w:rsid w:val="509047A1"/>
    <w:rsid w:val="50932329"/>
    <w:rsid w:val="509F30FF"/>
    <w:rsid w:val="50B02516"/>
    <w:rsid w:val="50B65F0A"/>
    <w:rsid w:val="50EB7C46"/>
    <w:rsid w:val="511C2C51"/>
    <w:rsid w:val="51200534"/>
    <w:rsid w:val="51893F32"/>
    <w:rsid w:val="51910FBE"/>
    <w:rsid w:val="51AF1B71"/>
    <w:rsid w:val="51B85649"/>
    <w:rsid w:val="51BB4B8E"/>
    <w:rsid w:val="51BB6772"/>
    <w:rsid w:val="51ED60B1"/>
    <w:rsid w:val="51EE3B3F"/>
    <w:rsid w:val="52203511"/>
    <w:rsid w:val="52223646"/>
    <w:rsid w:val="522D3CE2"/>
    <w:rsid w:val="5232434C"/>
    <w:rsid w:val="523705F6"/>
    <w:rsid w:val="5254269D"/>
    <w:rsid w:val="526C5A20"/>
    <w:rsid w:val="52B25522"/>
    <w:rsid w:val="52BD566A"/>
    <w:rsid w:val="52E05106"/>
    <w:rsid w:val="52E4473E"/>
    <w:rsid w:val="52F55010"/>
    <w:rsid w:val="52FF4DBD"/>
    <w:rsid w:val="534F690A"/>
    <w:rsid w:val="53645904"/>
    <w:rsid w:val="53700869"/>
    <w:rsid w:val="53A80881"/>
    <w:rsid w:val="53C1539F"/>
    <w:rsid w:val="53CF2744"/>
    <w:rsid w:val="53EF1ADE"/>
    <w:rsid w:val="53F70F6D"/>
    <w:rsid w:val="53F912D7"/>
    <w:rsid w:val="541E0972"/>
    <w:rsid w:val="544A45B7"/>
    <w:rsid w:val="54B34980"/>
    <w:rsid w:val="54EC1C9D"/>
    <w:rsid w:val="54ED5F07"/>
    <w:rsid w:val="54F0083F"/>
    <w:rsid w:val="54F01D93"/>
    <w:rsid w:val="54F72FB3"/>
    <w:rsid w:val="55017F9C"/>
    <w:rsid w:val="55313CBC"/>
    <w:rsid w:val="55317249"/>
    <w:rsid w:val="563077E9"/>
    <w:rsid w:val="5641292A"/>
    <w:rsid w:val="565454DB"/>
    <w:rsid w:val="56AF0F81"/>
    <w:rsid w:val="56B771D1"/>
    <w:rsid w:val="56FD6CC1"/>
    <w:rsid w:val="57106A79"/>
    <w:rsid w:val="572F2532"/>
    <w:rsid w:val="57431279"/>
    <w:rsid w:val="574A1137"/>
    <w:rsid w:val="574A7F00"/>
    <w:rsid w:val="576051C6"/>
    <w:rsid w:val="57645EEC"/>
    <w:rsid w:val="57763CA6"/>
    <w:rsid w:val="577C6C0E"/>
    <w:rsid w:val="578A20C4"/>
    <w:rsid w:val="578E7370"/>
    <w:rsid w:val="57B421B3"/>
    <w:rsid w:val="57BA7C1A"/>
    <w:rsid w:val="57ED2F16"/>
    <w:rsid w:val="57F8383D"/>
    <w:rsid w:val="57FC5042"/>
    <w:rsid w:val="580B48CC"/>
    <w:rsid w:val="581A4515"/>
    <w:rsid w:val="582D7DF9"/>
    <w:rsid w:val="583E345B"/>
    <w:rsid w:val="584F3EFC"/>
    <w:rsid w:val="586F2FB6"/>
    <w:rsid w:val="588D444D"/>
    <w:rsid w:val="58923725"/>
    <w:rsid w:val="589B5A5E"/>
    <w:rsid w:val="589C18D1"/>
    <w:rsid w:val="589F5691"/>
    <w:rsid w:val="58A67FF9"/>
    <w:rsid w:val="58BF5497"/>
    <w:rsid w:val="58C22F66"/>
    <w:rsid w:val="58C57EF9"/>
    <w:rsid w:val="58D6091F"/>
    <w:rsid w:val="58E151DD"/>
    <w:rsid w:val="58E721B5"/>
    <w:rsid w:val="58F14ACA"/>
    <w:rsid w:val="59014E0D"/>
    <w:rsid w:val="59295AAA"/>
    <w:rsid w:val="594C71D5"/>
    <w:rsid w:val="59582773"/>
    <w:rsid w:val="595A51B9"/>
    <w:rsid w:val="59742F58"/>
    <w:rsid w:val="59753E25"/>
    <w:rsid w:val="597F678F"/>
    <w:rsid w:val="59926CB8"/>
    <w:rsid w:val="59CC1467"/>
    <w:rsid w:val="59DD1FD1"/>
    <w:rsid w:val="59E907F2"/>
    <w:rsid w:val="5A0870E0"/>
    <w:rsid w:val="5A1B1C4A"/>
    <w:rsid w:val="5A435337"/>
    <w:rsid w:val="5A650E95"/>
    <w:rsid w:val="5A8B1714"/>
    <w:rsid w:val="5A9241C8"/>
    <w:rsid w:val="5A9244AA"/>
    <w:rsid w:val="5AB105C6"/>
    <w:rsid w:val="5AB86F3E"/>
    <w:rsid w:val="5AF858E6"/>
    <w:rsid w:val="5AF91807"/>
    <w:rsid w:val="5B0146AE"/>
    <w:rsid w:val="5B1F6232"/>
    <w:rsid w:val="5B23319F"/>
    <w:rsid w:val="5B235D50"/>
    <w:rsid w:val="5B2C2129"/>
    <w:rsid w:val="5B3066FF"/>
    <w:rsid w:val="5B4F32A5"/>
    <w:rsid w:val="5B584205"/>
    <w:rsid w:val="5B5D0CA3"/>
    <w:rsid w:val="5B6F337F"/>
    <w:rsid w:val="5B8E1CB6"/>
    <w:rsid w:val="5B8F3776"/>
    <w:rsid w:val="5B922A05"/>
    <w:rsid w:val="5BC63F33"/>
    <w:rsid w:val="5BCA5C03"/>
    <w:rsid w:val="5BD479DE"/>
    <w:rsid w:val="5BD72CBE"/>
    <w:rsid w:val="5BF83558"/>
    <w:rsid w:val="5C111BCA"/>
    <w:rsid w:val="5C2B15A1"/>
    <w:rsid w:val="5C407647"/>
    <w:rsid w:val="5C533C3E"/>
    <w:rsid w:val="5C543A2E"/>
    <w:rsid w:val="5C5F77DA"/>
    <w:rsid w:val="5C7A2B15"/>
    <w:rsid w:val="5CB86E16"/>
    <w:rsid w:val="5CCB3B7E"/>
    <w:rsid w:val="5CD87174"/>
    <w:rsid w:val="5CEB60EF"/>
    <w:rsid w:val="5CED1C94"/>
    <w:rsid w:val="5D0F5D61"/>
    <w:rsid w:val="5D210D25"/>
    <w:rsid w:val="5D210E02"/>
    <w:rsid w:val="5D753BC1"/>
    <w:rsid w:val="5D9C0336"/>
    <w:rsid w:val="5DAB6406"/>
    <w:rsid w:val="5DC378B4"/>
    <w:rsid w:val="5DD060E6"/>
    <w:rsid w:val="5DDC0BF4"/>
    <w:rsid w:val="5DDC5D3C"/>
    <w:rsid w:val="5DE04499"/>
    <w:rsid w:val="5DFB751B"/>
    <w:rsid w:val="5E091B76"/>
    <w:rsid w:val="5E0A09FB"/>
    <w:rsid w:val="5E0D1764"/>
    <w:rsid w:val="5E146437"/>
    <w:rsid w:val="5EA775BE"/>
    <w:rsid w:val="5EA90A8B"/>
    <w:rsid w:val="5EB503F6"/>
    <w:rsid w:val="5EB92F0C"/>
    <w:rsid w:val="5EBA64AD"/>
    <w:rsid w:val="5EC35BC4"/>
    <w:rsid w:val="5EC933F9"/>
    <w:rsid w:val="5EF001A5"/>
    <w:rsid w:val="5F050D4B"/>
    <w:rsid w:val="5F2D7EF4"/>
    <w:rsid w:val="5FA36558"/>
    <w:rsid w:val="5FBC1851"/>
    <w:rsid w:val="5FC038A6"/>
    <w:rsid w:val="5FD631B2"/>
    <w:rsid w:val="5FE44839"/>
    <w:rsid w:val="5FE7286D"/>
    <w:rsid w:val="60320332"/>
    <w:rsid w:val="60437962"/>
    <w:rsid w:val="60540427"/>
    <w:rsid w:val="605A06DC"/>
    <w:rsid w:val="607974A8"/>
    <w:rsid w:val="609C1806"/>
    <w:rsid w:val="60A20D2E"/>
    <w:rsid w:val="60B66558"/>
    <w:rsid w:val="60DE1307"/>
    <w:rsid w:val="60E5064E"/>
    <w:rsid w:val="611F114B"/>
    <w:rsid w:val="613B277D"/>
    <w:rsid w:val="61492B27"/>
    <w:rsid w:val="616C7B93"/>
    <w:rsid w:val="61701CE8"/>
    <w:rsid w:val="619113DE"/>
    <w:rsid w:val="61931D37"/>
    <w:rsid w:val="61AC4B30"/>
    <w:rsid w:val="620D740D"/>
    <w:rsid w:val="622469B4"/>
    <w:rsid w:val="62672119"/>
    <w:rsid w:val="626A0FB7"/>
    <w:rsid w:val="627C7648"/>
    <w:rsid w:val="62E37A89"/>
    <w:rsid w:val="62E85712"/>
    <w:rsid w:val="62FD6D68"/>
    <w:rsid w:val="63155F68"/>
    <w:rsid w:val="631E37C1"/>
    <w:rsid w:val="63390A72"/>
    <w:rsid w:val="634A48C6"/>
    <w:rsid w:val="6353227B"/>
    <w:rsid w:val="636B6FB9"/>
    <w:rsid w:val="63847B54"/>
    <w:rsid w:val="63885844"/>
    <w:rsid w:val="63977AB4"/>
    <w:rsid w:val="63CA4A8D"/>
    <w:rsid w:val="63EB0576"/>
    <w:rsid w:val="64173638"/>
    <w:rsid w:val="64345A11"/>
    <w:rsid w:val="643D6724"/>
    <w:rsid w:val="643E4CCE"/>
    <w:rsid w:val="647F7C9A"/>
    <w:rsid w:val="64893184"/>
    <w:rsid w:val="64A41673"/>
    <w:rsid w:val="64E821FB"/>
    <w:rsid w:val="64FF6B20"/>
    <w:rsid w:val="651026F6"/>
    <w:rsid w:val="65316262"/>
    <w:rsid w:val="65514770"/>
    <w:rsid w:val="65577998"/>
    <w:rsid w:val="657A443F"/>
    <w:rsid w:val="657B5B12"/>
    <w:rsid w:val="657D7107"/>
    <w:rsid w:val="659C14EF"/>
    <w:rsid w:val="659F536A"/>
    <w:rsid w:val="65AE2478"/>
    <w:rsid w:val="65D57E65"/>
    <w:rsid w:val="65D90AF2"/>
    <w:rsid w:val="65DD530B"/>
    <w:rsid w:val="65DE2794"/>
    <w:rsid w:val="65ED5A0F"/>
    <w:rsid w:val="65F37E83"/>
    <w:rsid w:val="65F77B85"/>
    <w:rsid w:val="65FF3341"/>
    <w:rsid w:val="660552A7"/>
    <w:rsid w:val="662419F2"/>
    <w:rsid w:val="66362267"/>
    <w:rsid w:val="66455BEF"/>
    <w:rsid w:val="665A78C7"/>
    <w:rsid w:val="66884FC6"/>
    <w:rsid w:val="668C4B7B"/>
    <w:rsid w:val="66A543C7"/>
    <w:rsid w:val="66B05621"/>
    <w:rsid w:val="66D05826"/>
    <w:rsid w:val="66D5363D"/>
    <w:rsid w:val="66E13B1C"/>
    <w:rsid w:val="66EA1A9D"/>
    <w:rsid w:val="66FF0761"/>
    <w:rsid w:val="66FF5ADB"/>
    <w:rsid w:val="67090B56"/>
    <w:rsid w:val="67150890"/>
    <w:rsid w:val="671D52F5"/>
    <w:rsid w:val="6757534F"/>
    <w:rsid w:val="675C1667"/>
    <w:rsid w:val="6761672F"/>
    <w:rsid w:val="67770889"/>
    <w:rsid w:val="678929C2"/>
    <w:rsid w:val="67972B42"/>
    <w:rsid w:val="6798128E"/>
    <w:rsid w:val="679E1BAF"/>
    <w:rsid w:val="67A052D3"/>
    <w:rsid w:val="67BA2A4D"/>
    <w:rsid w:val="67D00227"/>
    <w:rsid w:val="68242C82"/>
    <w:rsid w:val="68392DAB"/>
    <w:rsid w:val="683D4C84"/>
    <w:rsid w:val="6845233E"/>
    <w:rsid w:val="68530BB0"/>
    <w:rsid w:val="68543F21"/>
    <w:rsid w:val="6859231D"/>
    <w:rsid w:val="686E1851"/>
    <w:rsid w:val="68743442"/>
    <w:rsid w:val="689D4D60"/>
    <w:rsid w:val="68B350CE"/>
    <w:rsid w:val="68C13C20"/>
    <w:rsid w:val="68D06926"/>
    <w:rsid w:val="68DF6FBB"/>
    <w:rsid w:val="68E479E5"/>
    <w:rsid w:val="68F01F49"/>
    <w:rsid w:val="69037570"/>
    <w:rsid w:val="690E7482"/>
    <w:rsid w:val="69261096"/>
    <w:rsid w:val="69285CB6"/>
    <w:rsid w:val="694574C3"/>
    <w:rsid w:val="69522D91"/>
    <w:rsid w:val="695802F4"/>
    <w:rsid w:val="697E09D1"/>
    <w:rsid w:val="69901DCF"/>
    <w:rsid w:val="699B4E14"/>
    <w:rsid w:val="69A5413B"/>
    <w:rsid w:val="69BD73F1"/>
    <w:rsid w:val="69CB26C4"/>
    <w:rsid w:val="69D2603F"/>
    <w:rsid w:val="69DF14A0"/>
    <w:rsid w:val="69E45005"/>
    <w:rsid w:val="6A274A4C"/>
    <w:rsid w:val="6A357A20"/>
    <w:rsid w:val="6A3618F8"/>
    <w:rsid w:val="6A3C2E51"/>
    <w:rsid w:val="6A70687B"/>
    <w:rsid w:val="6A78260B"/>
    <w:rsid w:val="6A796774"/>
    <w:rsid w:val="6A8D1E11"/>
    <w:rsid w:val="6A8F355B"/>
    <w:rsid w:val="6AA16C71"/>
    <w:rsid w:val="6AAD248B"/>
    <w:rsid w:val="6AE43EDA"/>
    <w:rsid w:val="6AF93777"/>
    <w:rsid w:val="6B150B90"/>
    <w:rsid w:val="6B3212EB"/>
    <w:rsid w:val="6B43432C"/>
    <w:rsid w:val="6B75708A"/>
    <w:rsid w:val="6B782DB6"/>
    <w:rsid w:val="6B792B9D"/>
    <w:rsid w:val="6B7D33E6"/>
    <w:rsid w:val="6B8556F0"/>
    <w:rsid w:val="6B866DBB"/>
    <w:rsid w:val="6B953202"/>
    <w:rsid w:val="6BA508A5"/>
    <w:rsid w:val="6BAB3EB5"/>
    <w:rsid w:val="6BB40240"/>
    <w:rsid w:val="6BB44696"/>
    <w:rsid w:val="6BCF0906"/>
    <w:rsid w:val="6C070D5C"/>
    <w:rsid w:val="6C0B5710"/>
    <w:rsid w:val="6C2842C1"/>
    <w:rsid w:val="6C650A9D"/>
    <w:rsid w:val="6C697883"/>
    <w:rsid w:val="6C89219F"/>
    <w:rsid w:val="6C8F67E1"/>
    <w:rsid w:val="6CAD66C2"/>
    <w:rsid w:val="6CB24D37"/>
    <w:rsid w:val="6CE05A84"/>
    <w:rsid w:val="6CFD55EA"/>
    <w:rsid w:val="6D1D6857"/>
    <w:rsid w:val="6D2474E8"/>
    <w:rsid w:val="6D4C13AF"/>
    <w:rsid w:val="6D5C56D1"/>
    <w:rsid w:val="6D5E55A6"/>
    <w:rsid w:val="6DA636B8"/>
    <w:rsid w:val="6DFC57F7"/>
    <w:rsid w:val="6E0321FC"/>
    <w:rsid w:val="6E0776BA"/>
    <w:rsid w:val="6E17297F"/>
    <w:rsid w:val="6E4271C0"/>
    <w:rsid w:val="6E561FA4"/>
    <w:rsid w:val="6E78499F"/>
    <w:rsid w:val="6E8A3CCC"/>
    <w:rsid w:val="6E9828F8"/>
    <w:rsid w:val="6E9E624D"/>
    <w:rsid w:val="6EBD4B1C"/>
    <w:rsid w:val="6EBF5CF7"/>
    <w:rsid w:val="6EC62C7A"/>
    <w:rsid w:val="6EC77A0D"/>
    <w:rsid w:val="6ECB7158"/>
    <w:rsid w:val="6ED870E9"/>
    <w:rsid w:val="6EE6196F"/>
    <w:rsid w:val="6EE81BB3"/>
    <w:rsid w:val="6EEB25A8"/>
    <w:rsid w:val="6F0E5901"/>
    <w:rsid w:val="6F1C7D07"/>
    <w:rsid w:val="6F1E18DF"/>
    <w:rsid w:val="6F290CCB"/>
    <w:rsid w:val="6F3B11E5"/>
    <w:rsid w:val="6F637A8A"/>
    <w:rsid w:val="6F7A20F0"/>
    <w:rsid w:val="6F8F1972"/>
    <w:rsid w:val="70242BC7"/>
    <w:rsid w:val="70256D24"/>
    <w:rsid w:val="70302AF5"/>
    <w:rsid w:val="705D686C"/>
    <w:rsid w:val="70634155"/>
    <w:rsid w:val="7076217F"/>
    <w:rsid w:val="707A2C56"/>
    <w:rsid w:val="707D75AC"/>
    <w:rsid w:val="70AE2E74"/>
    <w:rsid w:val="70D76246"/>
    <w:rsid w:val="70DE3CB5"/>
    <w:rsid w:val="70F15474"/>
    <w:rsid w:val="70F7400C"/>
    <w:rsid w:val="715122EE"/>
    <w:rsid w:val="71883AEE"/>
    <w:rsid w:val="71B754C4"/>
    <w:rsid w:val="71BF718E"/>
    <w:rsid w:val="71D029A5"/>
    <w:rsid w:val="71E57418"/>
    <w:rsid w:val="71ED626C"/>
    <w:rsid w:val="722358EE"/>
    <w:rsid w:val="7271099C"/>
    <w:rsid w:val="728E6243"/>
    <w:rsid w:val="729D75DC"/>
    <w:rsid w:val="72C45DEF"/>
    <w:rsid w:val="72D17847"/>
    <w:rsid w:val="72D47FF9"/>
    <w:rsid w:val="72D74929"/>
    <w:rsid w:val="72E22DFC"/>
    <w:rsid w:val="72ED3287"/>
    <w:rsid w:val="72F9526C"/>
    <w:rsid w:val="72FB33ED"/>
    <w:rsid w:val="7307399C"/>
    <w:rsid w:val="73131AEE"/>
    <w:rsid w:val="73157C38"/>
    <w:rsid w:val="73287FB2"/>
    <w:rsid w:val="733D2B90"/>
    <w:rsid w:val="734D011F"/>
    <w:rsid w:val="73581D23"/>
    <w:rsid w:val="735B62EB"/>
    <w:rsid w:val="73690B99"/>
    <w:rsid w:val="73693329"/>
    <w:rsid w:val="737E36B0"/>
    <w:rsid w:val="73E6529C"/>
    <w:rsid w:val="7406328F"/>
    <w:rsid w:val="741335E1"/>
    <w:rsid w:val="74211296"/>
    <w:rsid w:val="74242E2B"/>
    <w:rsid w:val="74553B71"/>
    <w:rsid w:val="74667CE7"/>
    <w:rsid w:val="74923F14"/>
    <w:rsid w:val="74956F99"/>
    <w:rsid w:val="74D81F4A"/>
    <w:rsid w:val="74EC75C8"/>
    <w:rsid w:val="74F36ED9"/>
    <w:rsid w:val="75052B12"/>
    <w:rsid w:val="75103244"/>
    <w:rsid w:val="75180792"/>
    <w:rsid w:val="75413D80"/>
    <w:rsid w:val="75974CCE"/>
    <w:rsid w:val="75A07ED0"/>
    <w:rsid w:val="75B06F25"/>
    <w:rsid w:val="75B93FC5"/>
    <w:rsid w:val="75BD5447"/>
    <w:rsid w:val="75C15451"/>
    <w:rsid w:val="75F8264B"/>
    <w:rsid w:val="760A661F"/>
    <w:rsid w:val="762274F8"/>
    <w:rsid w:val="76366115"/>
    <w:rsid w:val="7662273B"/>
    <w:rsid w:val="769F259D"/>
    <w:rsid w:val="76B46764"/>
    <w:rsid w:val="76E45156"/>
    <w:rsid w:val="770B3A95"/>
    <w:rsid w:val="775522FF"/>
    <w:rsid w:val="7755320D"/>
    <w:rsid w:val="775B7B96"/>
    <w:rsid w:val="77690B6B"/>
    <w:rsid w:val="776E2295"/>
    <w:rsid w:val="777A2D0E"/>
    <w:rsid w:val="777B7697"/>
    <w:rsid w:val="77810352"/>
    <w:rsid w:val="778E0F71"/>
    <w:rsid w:val="77910689"/>
    <w:rsid w:val="77A11BB6"/>
    <w:rsid w:val="77B13191"/>
    <w:rsid w:val="77C60E04"/>
    <w:rsid w:val="77F41615"/>
    <w:rsid w:val="77F705CB"/>
    <w:rsid w:val="77F77E80"/>
    <w:rsid w:val="780C385A"/>
    <w:rsid w:val="78244128"/>
    <w:rsid w:val="782C3D11"/>
    <w:rsid w:val="782E7E02"/>
    <w:rsid w:val="78336631"/>
    <w:rsid w:val="784B4F18"/>
    <w:rsid w:val="78581489"/>
    <w:rsid w:val="78643FE3"/>
    <w:rsid w:val="78951BC2"/>
    <w:rsid w:val="78CA2671"/>
    <w:rsid w:val="78D360A7"/>
    <w:rsid w:val="78F509BD"/>
    <w:rsid w:val="78FE655C"/>
    <w:rsid w:val="7911106E"/>
    <w:rsid w:val="792102EA"/>
    <w:rsid w:val="79303638"/>
    <w:rsid w:val="794346D9"/>
    <w:rsid w:val="794649ED"/>
    <w:rsid w:val="796A31B3"/>
    <w:rsid w:val="797E51D3"/>
    <w:rsid w:val="79935EAC"/>
    <w:rsid w:val="79982113"/>
    <w:rsid w:val="79A302E5"/>
    <w:rsid w:val="79AC1182"/>
    <w:rsid w:val="79D26B0A"/>
    <w:rsid w:val="79FD6B05"/>
    <w:rsid w:val="7A110C5C"/>
    <w:rsid w:val="7A3773C0"/>
    <w:rsid w:val="7A394B99"/>
    <w:rsid w:val="7A46040B"/>
    <w:rsid w:val="7A5D0518"/>
    <w:rsid w:val="7A6F30EB"/>
    <w:rsid w:val="7A722053"/>
    <w:rsid w:val="7A796D30"/>
    <w:rsid w:val="7A9D5657"/>
    <w:rsid w:val="7AA15EDD"/>
    <w:rsid w:val="7AC62AFA"/>
    <w:rsid w:val="7ADB29E8"/>
    <w:rsid w:val="7AFA7016"/>
    <w:rsid w:val="7B0C6FC1"/>
    <w:rsid w:val="7B34047C"/>
    <w:rsid w:val="7B370522"/>
    <w:rsid w:val="7B4F630F"/>
    <w:rsid w:val="7B5700BA"/>
    <w:rsid w:val="7B5F70BE"/>
    <w:rsid w:val="7B8D1379"/>
    <w:rsid w:val="7B945D90"/>
    <w:rsid w:val="7BB700BF"/>
    <w:rsid w:val="7BD56AC9"/>
    <w:rsid w:val="7BDC40D5"/>
    <w:rsid w:val="7BE24CBA"/>
    <w:rsid w:val="7BE45E38"/>
    <w:rsid w:val="7BFF6B11"/>
    <w:rsid w:val="7C0715CE"/>
    <w:rsid w:val="7C137704"/>
    <w:rsid w:val="7C2B0BD3"/>
    <w:rsid w:val="7C3C14CD"/>
    <w:rsid w:val="7C455EA2"/>
    <w:rsid w:val="7C4D1AE9"/>
    <w:rsid w:val="7C583EBB"/>
    <w:rsid w:val="7C5B4C2B"/>
    <w:rsid w:val="7C6775C7"/>
    <w:rsid w:val="7C9F1568"/>
    <w:rsid w:val="7CB779AC"/>
    <w:rsid w:val="7CBF6329"/>
    <w:rsid w:val="7CDB591E"/>
    <w:rsid w:val="7CF600A5"/>
    <w:rsid w:val="7D0A66C6"/>
    <w:rsid w:val="7D141825"/>
    <w:rsid w:val="7D2A44B1"/>
    <w:rsid w:val="7D2D1809"/>
    <w:rsid w:val="7D385A43"/>
    <w:rsid w:val="7D5A73E1"/>
    <w:rsid w:val="7D8A4499"/>
    <w:rsid w:val="7D8E2311"/>
    <w:rsid w:val="7DD111BC"/>
    <w:rsid w:val="7DD624BC"/>
    <w:rsid w:val="7DD652C3"/>
    <w:rsid w:val="7DD7700A"/>
    <w:rsid w:val="7DE96E01"/>
    <w:rsid w:val="7E04183D"/>
    <w:rsid w:val="7E4A031F"/>
    <w:rsid w:val="7E4E6A8C"/>
    <w:rsid w:val="7E88155D"/>
    <w:rsid w:val="7E9B2975"/>
    <w:rsid w:val="7E9E0E2E"/>
    <w:rsid w:val="7EB57FA0"/>
    <w:rsid w:val="7ECB3459"/>
    <w:rsid w:val="7EE72090"/>
    <w:rsid w:val="7F0C4527"/>
    <w:rsid w:val="7F0E0327"/>
    <w:rsid w:val="7F176AE8"/>
    <w:rsid w:val="7F192422"/>
    <w:rsid w:val="7F331B4E"/>
    <w:rsid w:val="7F646533"/>
    <w:rsid w:val="7FB20165"/>
    <w:rsid w:val="7FDB6125"/>
    <w:rsid w:val="7FFE31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0" w:firstLineChars="0"/>
      <w:jc w:val="both"/>
    </w:pPr>
    <w:rPr>
      <w:rFonts w:ascii="Times New Roman" w:hAnsi="Times New Roman" w:eastAsia="方正楷体简体"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jc w:val="center"/>
      <w:outlineLvl w:val="0"/>
    </w:pPr>
    <w:rPr>
      <w:rFonts w:eastAsia="方正小标宋简体"/>
      <w:kern w:val="44"/>
      <w:sz w:val="44"/>
    </w:rPr>
  </w:style>
  <w:style w:type="paragraph" w:styleId="4">
    <w:name w:val="heading 2"/>
    <w:basedOn w:val="1"/>
    <w:next w:val="1"/>
    <w:unhideWhenUsed/>
    <w:qFormat/>
    <w:uiPriority w:val="0"/>
    <w:pPr>
      <w:keepNext/>
      <w:keepLines/>
      <w:spacing w:beforeLines="0" w:beforeAutospacing="0" w:afterLines="0" w:afterAutospacing="0" w:line="560" w:lineRule="exact"/>
      <w:jc w:val="center"/>
      <w:outlineLvl w:val="1"/>
    </w:pPr>
    <w:rPr>
      <w:rFonts w:eastAsia="方正黑体简体"/>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WPSOffice手动目录 1"/>
    <w:qFormat/>
    <w:uiPriority w:val="0"/>
    <w:pPr>
      <w:ind w:leftChars="0"/>
    </w:pPr>
    <w:rPr>
      <w:rFonts w:asciiTheme="minorHAnsi" w:hAnsiTheme="minorHAnsi" w:eastAsiaTheme="minorEastAsia" w:cstheme="minorBidi"/>
      <w:sz w:val="20"/>
      <w:szCs w:val="20"/>
    </w:rPr>
  </w:style>
  <w:style w:type="paragraph" w:customStyle="1" w:styleId="10">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8ab6a46-2ac1-49d5-8b1f-553f5d9771bc}"/>
        <w:style w:val=""/>
        <w:category>
          <w:name w:val="常规"/>
          <w:gallery w:val="placeholder"/>
        </w:category>
        <w:types>
          <w:type w:val="bbPlcHdr"/>
        </w:types>
        <w:behaviors>
          <w:behavior w:val="content"/>
        </w:behaviors>
        <w:description w:val=""/>
        <w:guid w:val="{28ab6a46-2ac1-49d5-8b1f-553f5d9771bc}"/>
      </w:docPartPr>
      <w:docPartBody>
        <w:p>
          <w:r>
            <w:rPr>
              <w:color w:val="808080"/>
            </w:rPr>
            <w:t>单击此处输入文字。</w:t>
          </w:r>
        </w:p>
      </w:docPartBody>
    </w:docPart>
    <w:docPart>
      <w:docPartPr>
        <w:name w:val="{8e9c32a3-fe08-4d87-9380-337fee99b737}"/>
        <w:style w:val=""/>
        <w:category>
          <w:name w:val="常规"/>
          <w:gallery w:val="placeholder"/>
        </w:category>
        <w:types>
          <w:type w:val="bbPlcHdr"/>
        </w:types>
        <w:behaviors>
          <w:behavior w:val="content"/>
        </w:behaviors>
        <w:description w:val=""/>
        <w:guid w:val="{8e9c32a3-fe08-4d87-9380-337fee99b737}"/>
      </w:docPartPr>
      <w:docPartBody>
        <w:p>
          <w:r>
            <w:rPr>
              <w:color w:val="808080"/>
            </w:rPr>
            <w:t>单击此处输入文字。</w:t>
          </w:r>
        </w:p>
      </w:docPartBody>
    </w:docPart>
    <w:docPart>
      <w:docPartPr>
        <w:name w:val="{a45e57ec-1565-46a5-bb43-77e7bc28acf8}"/>
        <w:style w:val=""/>
        <w:category>
          <w:name w:val="常规"/>
          <w:gallery w:val="placeholder"/>
        </w:category>
        <w:types>
          <w:type w:val="bbPlcHdr"/>
        </w:types>
        <w:behaviors>
          <w:behavior w:val="content"/>
        </w:behaviors>
        <w:description w:val=""/>
        <w:guid w:val="{a45e57ec-1565-46a5-bb43-77e7bc28acf8}"/>
      </w:docPartPr>
      <w:docPartBody>
        <w:p>
          <w:r>
            <w:rPr>
              <w:color w:val="808080"/>
            </w:rPr>
            <w:t>单击此处输入文字。</w:t>
          </w:r>
        </w:p>
      </w:docPartBody>
    </w:docPart>
    <w:docPart>
      <w:docPartPr>
        <w:name w:val="{1d5e59a3-c2bf-4846-bfbd-485c559dc008}"/>
        <w:style w:val=""/>
        <w:category>
          <w:name w:val="常规"/>
          <w:gallery w:val="placeholder"/>
        </w:category>
        <w:types>
          <w:type w:val="bbPlcHdr"/>
        </w:types>
        <w:behaviors>
          <w:behavior w:val="content"/>
        </w:behaviors>
        <w:description w:val=""/>
        <w:guid w:val="{1d5e59a3-c2bf-4846-bfbd-485c559dc008}"/>
      </w:docPartPr>
      <w:docPartBody>
        <w:p>
          <w:r>
            <w:rPr>
              <w:color w:val="808080"/>
            </w:rPr>
            <w:t>单击此处输入文字。</w:t>
          </w:r>
        </w:p>
      </w:docPartBody>
    </w:docPart>
    <w:docPart>
      <w:docPartPr>
        <w:name w:val="{d40e141e-5b60-44d6-a23f-51d6fdbecbe3}"/>
        <w:style w:val=""/>
        <w:category>
          <w:name w:val="常规"/>
          <w:gallery w:val="placeholder"/>
        </w:category>
        <w:types>
          <w:type w:val="bbPlcHdr"/>
        </w:types>
        <w:behaviors>
          <w:behavior w:val="content"/>
        </w:behaviors>
        <w:description w:val=""/>
        <w:guid w:val="{d40e141e-5b60-44d6-a23f-51d6fdbecbe3}"/>
      </w:docPartPr>
      <w:docPartBody>
        <w:p>
          <w:r>
            <w:rPr>
              <w:color w:val="808080"/>
            </w:rPr>
            <w:t>单击此处输入文字。</w:t>
          </w:r>
        </w:p>
      </w:docPartBody>
    </w:docPart>
    <w:docPart>
      <w:docPartPr>
        <w:name w:val="{14ab39a4-162a-4617-be7d-0ffbc5ce0778}"/>
        <w:style w:val=""/>
        <w:category>
          <w:name w:val="常规"/>
          <w:gallery w:val="placeholder"/>
        </w:category>
        <w:types>
          <w:type w:val="bbPlcHdr"/>
        </w:types>
        <w:behaviors>
          <w:behavior w:val="content"/>
        </w:behaviors>
        <w:description w:val=""/>
        <w:guid w:val="{14ab39a4-162a-4617-be7d-0ffbc5ce0778}"/>
      </w:docPartPr>
      <w:docPartBody>
        <w:p>
          <w:r>
            <w:rPr>
              <w:color w:val="808080"/>
            </w:rPr>
            <w:t>单击此处输入文字。</w:t>
          </w:r>
        </w:p>
      </w:docPartBody>
    </w:docPart>
    <w:docPart>
      <w:docPartPr>
        <w:name w:val="{b04563e5-7531-4f82-a50e-baff45de4a25}"/>
        <w:style w:val=""/>
        <w:category>
          <w:name w:val="常规"/>
          <w:gallery w:val="placeholder"/>
        </w:category>
        <w:types>
          <w:type w:val="bbPlcHdr"/>
        </w:types>
        <w:behaviors>
          <w:behavior w:val="content"/>
        </w:behaviors>
        <w:description w:val=""/>
        <w:guid w:val="{b04563e5-7531-4f82-a50e-baff45de4a25}"/>
      </w:docPartPr>
      <w:docPartBody>
        <w:p>
          <w:r>
            <w:rPr>
              <w:color w:val="808080"/>
            </w:rPr>
            <w:t>单击此处输入文字。</w:t>
          </w:r>
        </w:p>
      </w:docPartBody>
    </w:docPart>
    <w:docPart>
      <w:docPartPr>
        <w:name w:val="{e97130a1-6836-4a89-bc9b-6434b770cb2c}"/>
        <w:style w:val=""/>
        <w:category>
          <w:name w:val="常规"/>
          <w:gallery w:val="placeholder"/>
        </w:category>
        <w:types>
          <w:type w:val="bbPlcHdr"/>
        </w:types>
        <w:behaviors>
          <w:behavior w:val="content"/>
        </w:behaviors>
        <w:description w:val=""/>
        <w:guid w:val="{e97130a1-6836-4a89-bc9b-6434b770cb2c}"/>
      </w:docPartPr>
      <w:docPartBody>
        <w:p>
          <w:r>
            <w:rPr>
              <w:color w:val="808080"/>
            </w:rPr>
            <w:t>单击此处输入文字。</w:t>
          </w:r>
        </w:p>
      </w:docPartBody>
    </w:docPart>
    <w:docPart>
      <w:docPartPr>
        <w:name w:val="{e63579e2-356a-4bf0-ba43-6e043228999a}"/>
        <w:style w:val=""/>
        <w:category>
          <w:name w:val="常规"/>
          <w:gallery w:val="placeholder"/>
        </w:category>
        <w:types>
          <w:type w:val="bbPlcHdr"/>
        </w:types>
        <w:behaviors>
          <w:behavior w:val="content"/>
        </w:behaviors>
        <w:description w:val=""/>
        <w:guid w:val="{e63579e2-356a-4bf0-ba43-6e043228999a}"/>
      </w:docPartPr>
      <w:docPartBody>
        <w:p>
          <w:r>
            <w:rPr>
              <w:color w:val="808080"/>
            </w:rPr>
            <w:t>单击此处输入文字。</w:t>
          </w:r>
        </w:p>
      </w:docPartBody>
    </w:docPart>
    <w:docPart>
      <w:docPartPr>
        <w:name w:val="{9e52466a-9528-464f-9684-d622647c2c70}"/>
        <w:style w:val=""/>
        <w:category>
          <w:name w:val="常规"/>
          <w:gallery w:val="placeholder"/>
        </w:category>
        <w:types>
          <w:type w:val="bbPlcHdr"/>
        </w:types>
        <w:behaviors>
          <w:behavior w:val="content"/>
        </w:behaviors>
        <w:description w:val=""/>
        <w:guid w:val="{9e52466a-9528-464f-9684-d622647c2c70}"/>
      </w:docPartPr>
      <w:docPartBody>
        <w:p>
          <w:r>
            <w:rPr>
              <w:color w:val="808080"/>
            </w:rPr>
            <w:t>单击此处输入文字。</w:t>
          </w:r>
        </w:p>
      </w:docPartBody>
    </w:docPart>
    <w:docPart>
      <w:docPartPr>
        <w:name w:val="{e8a50992-3926-4cd3-b3da-64dbb4bbd1a2}"/>
        <w:style w:val=""/>
        <w:category>
          <w:name w:val="常规"/>
          <w:gallery w:val="placeholder"/>
        </w:category>
        <w:types>
          <w:type w:val="bbPlcHdr"/>
        </w:types>
        <w:behaviors>
          <w:behavior w:val="content"/>
        </w:behaviors>
        <w:description w:val=""/>
        <w:guid w:val="{e8a50992-3926-4cd3-b3da-64dbb4bbd1a2}"/>
      </w:docPartPr>
      <w:docPartBody>
        <w:p>
          <w:r>
            <w:rPr>
              <w:color w:val="808080"/>
            </w:rPr>
            <w:t>单击此处输入文字。</w:t>
          </w:r>
        </w:p>
      </w:docPartBody>
    </w:docPart>
    <w:docPart>
      <w:docPartPr>
        <w:name w:val="{52414b6b-ba38-4d79-944e-2457a531004a}"/>
        <w:style w:val=""/>
        <w:category>
          <w:name w:val="常规"/>
          <w:gallery w:val="placeholder"/>
        </w:category>
        <w:types>
          <w:type w:val="bbPlcHdr"/>
        </w:types>
        <w:behaviors>
          <w:behavior w:val="content"/>
        </w:behaviors>
        <w:description w:val=""/>
        <w:guid w:val="{52414b6b-ba38-4d79-944e-2457a531004a}"/>
      </w:docPartPr>
      <w:docPartBody>
        <w:p>
          <w:r>
            <w:rPr>
              <w:color w:val="808080"/>
            </w:rPr>
            <w:t>单击此处输入文字。</w:t>
          </w:r>
        </w:p>
      </w:docPartBody>
    </w:docPart>
    <w:docPart>
      <w:docPartPr>
        <w:name w:val="{24a945f0-0035-47e2-b44c-ab0025856465}"/>
        <w:style w:val=""/>
        <w:category>
          <w:name w:val="常规"/>
          <w:gallery w:val="placeholder"/>
        </w:category>
        <w:types>
          <w:type w:val="bbPlcHdr"/>
        </w:types>
        <w:behaviors>
          <w:behavior w:val="content"/>
        </w:behaviors>
        <w:description w:val=""/>
        <w:guid w:val="{24a945f0-0035-47e2-b44c-ab0025856465}"/>
      </w:docPartPr>
      <w:docPartBody>
        <w:p>
          <w:r>
            <w:rPr>
              <w:color w:val="808080"/>
            </w:rPr>
            <w:t>单击此处输入文字。</w:t>
          </w:r>
        </w:p>
      </w:docPartBody>
    </w:docPart>
    <w:docPart>
      <w:docPartPr>
        <w:name w:val="{4fe3d260-d692-4a10-8efd-3db1c5da8ad4}"/>
        <w:style w:val=""/>
        <w:category>
          <w:name w:val="常规"/>
          <w:gallery w:val="placeholder"/>
        </w:category>
        <w:types>
          <w:type w:val="bbPlcHdr"/>
        </w:types>
        <w:behaviors>
          <w:behavior w:val="content"/>
        </w:behaviors>
        <w:description w:val=""/>
        <w:guid w:val="{4fe3d260-d692-4a10-8efd-3db1c5da8ad4}"/>
      </w:docPartPr>
      <w:docPartBody>
        <w:p>
          <w:r>
            <w:rPr>
              <w:color w:val="808080"/>
            </w:rPr>
            <w:t>单击此处输入文字。</w:t>
          </w:r>
        </w:p>
      </w:docPartBody>
    </w:docPart>
    <w:docPart>
      <w:docPartPr>
        <w:name w:val="{bb49d11c-2664-448f-9668-0c97f461d791}"/>
        <w:style w:val=""/>
        <w:category>
          <w:name w:val="常规"/>
          <w:gallery w:val="placeholder"/>
        </w:category>
        <w:types>
          <w:type w:val="bbPlcHdr"/>
        </w:types>
        <w:behaviors>
          <w:behavior w:val="content"/>
        </w:behaviors>
        <w:description w:val=""/>
        <w:guid w:val="{bb49d11c-2664-448f-9668-0c97f461d791}"/>
      </w:docPartPr>
      <w:docPartBody>
        <w:p>
          <w:r>
            <w:rPr>
              <w:color w:val="808080"/>
            </w:rPr>
            <w:t>单击此处输入文字。</w:t>
          </w:r>
        </w:p>
      </w:docPartBody>
    </w:docPart>
    <w:docPart>
      <w:docPartPr>
        <w:name w:val="{94f410f0-97c8-46dd-b9d2-bd1ca98461b8}"/>
        <w:style w:val=""/>
        <w:category>
          <w:name w:val="常规"/>
          <w:gallery w:val="placeholder"/>
        </w:category>
        <w:types>
          <w:type w:val="bbPlcHdr"/>
        </w:types>
        <w:behaviors>
          <w:behavior w:val="content"/>
        </w:behaviors>
        <w:description w:val=""/>
        <w:guid w:val="{94f410f0-97c8-46dd-b9d2-bd1ca98461b8}"/>
      </w:docPartPr>
      <w:docPartBody>
        <w:p>
          <w:r>
            <w:rPr>
              <w:color w:val="808080"/>
            </w:rPr>
            <w:t>单击此处输入文字。</w:t>
          </w:r>
        </w:p>
      </w:docPartBody>
    </w:docPart>
    <w:docPart>
      <w:docPartPr>
        <w:name w:val="{d6d931c2-089d-4659-a602-6348618dfc60}"/>
        <w:style w:val=""/>
        <w:category>
          <w:name w:val="常规"/>
          <w:gallery w:val="placeholder"/>
        </w:category>
        <w:types>
          <w:type w:val="bbPlcHdr"/>
        </w:types>
        <w:behaviors>
          <w:behavior w:val="content"/>
        </w:behaviors>
        <w:description w:val=""/>
        <w:guid w:val="{d6d931c2-089d-4659-a602-6348618dfc60}"/>
      </w:docPartPr>
      <w:docPartBody>
        <w:p>
          <w:r>
            <w:rPr>
              <w:color w:val="808080"/>
            </w:rPr>
            <w:t>单击此处输入文字。</w:t>
          </w:r>
        </w:p>
      </w:docPartBody>
    </w:docPart>
    <w:docPart>
      <w:docPartPr>
        <w:name w:val="{b8bab6e1-4390-4a2f-a3e1-46c394b9135b}"/>
        <w:style w:val=""/>
        <w:category>
          <w:name w:val="常规"/>
          <w:gallery w:val="placeholder"/>
        </w:category>
        <w:types>
          <w:type w:val="bbPlcHdr"/>
        </w:types>
        <w:behaviors>
          <w:behavior w:val="content"/>
        </w:behaviors>
        <w:description w:val=""/>
        <w:guid w:val="{b8bab6e1-4390-4a2f-a3e1-46c394b9135b}"/>
      </w:docPartPr>
      <w:docPartBody>
        <w:p>
          <w:r>
            <w:rPr>
              <w:color w:val="808080"/>
            </w:rPr>
            <w:t>单击此处输入文字。</w:t>
          </w:r>
        </w:p>
      </w:docPartBody>
    </w:docPart>
    <w:docPart>
      <w:docPartPr>
        <w:name w:val="{a4b38b99-851d-4581-b210-836a4a67b52a}"/>
        <w:style w:val=""/>
        <w:category>
          <w:name w:val="常规"/>
          <w:gallery w:val="placeholder"/>
        </w:category>
        <w:types>
          <w:type w:val="bbPlcHdr"/>
        </w:types>
        <w:behaviors>
          <w:behavior w:val="content"/>
        </w:behaviors>
        <w:description w:val=""/>
        <w:guid w:val="{a4b38b99-851d-4581-b210-836a4a67b52a}"/>
      </w:docPartPr>
      <w:docPartBody>
        <w:p>
          <w:r>
            <w:rPr>
              <w:color w:val="808080"/>
            </w:rPr>
            <w:t>单击此处输入文字。</w:t>
          </w:r>
        </w:p>
      </w:docPartBody>
    </w:docPart>
    <w:docPart>
      <w:docPartPr>
        <w:name w:val="{04e52819-355a-432e-95cf-fbde97553aae}"/>
        <w:style w:val=""/>
        <w:category>
          <w:name w:val="常规"/>
          <w:gallery w:val="placeholder"/>
        </w:category>
        <w:types>
          <w:type w:val="bbPlcHdr"/>
        </w:types>
        <w:behaviors>
          <w:behavior w:val="content"/>
        </w:behaviors>
        <w:description w:val=""/>
        <w:guid w:val="{04e52819-355a-432e-95cf-fbde97553aae}"/>
      </w:docPartPr>
      <w:docPartBody>
        <w:p>
          <w:r>
            <w:rPr>
              <w:color w:val="808080"/>
            </w:rPr>
            <w:t>单击此处输入文字。</w:t>
          </w:r>
        </w:p>
      </w:docPartBody>
    </w:docPart>
    <w:docPart>
      <w:docPartPr>
        <w:name w:val="{b746f76b-e84e-4f8f-b18c-5ec8058bc414}"/>
        <w:style w:val=""/>
        <w:category>
          <w:name w:val="常规"/>
          <w:gallery w:val="placeholder"/>
        </w:category>
        <w:types>
          <w:type w:val="bbPlcHdr"/>
        </w:types>
        <w:behaviors>
          <w:behavior w:val="content"/>
        </w:behaviors>
        <w:description w:val=""/>
        <w:guid w:val="{b746f76b-e84e-4f8f-b18c-5ec8058bc414}"/>
      </w:docPartPr>
      <w:docPartBody>
        <w:p>
          <w:r>
            <w:rPr>
              <w:color w:val="808080"/>
            </w:rPr>
            <w:t>单击此处输入文字。</w:t>
          </w:r>
        </w:p>
      </w:docPartBody>
    </w:docPart>
    <w:docPart>
      <w:docPartPr>
        <w:name w:val="{8728f298-3645-4451-b9fb-e71b5c321904}"/>
        <w:style w:val=""/>
        <w:category>
          <w:name w:val="常规"/>
          <w:gallery w:val="placeholder"/>
        </w:category>
        <w:types>
          <w:type w:val="bbPlcHdr"/>
        </w:types>
        <w:behaviors>
          <w:behavior w:val="content"/>
        </w:behaviors>
        <w:description w:val=""/>
        <w:guid w:val="{8728f298-3645-4451-b9fb-e71b5c321904}"/>
      </w:docPartPr>
      <w:docPartBody>
        <w:p>
          <w:r>
            <w:rPr>
              <w:color w:val="808080"/>
            </w:rPr>
            <w:t>单击此处输入文字。</w:t>
          </w:r>
        </w:p>
      </w:docPartBody>
    </w:docPart>
    <w:docPart>
      <w:docPartPr>
        <w:name w:val="{967d57ea-df62-4d06-9d03-36f677b2dbf9}"/>
        <w:style w:val=""/>
        <w:category>
          <w:name w:val="常规"/>
          <w:gallery w:val="placeholder"/>
        </w:category>
        <w:types>
          <w:type w:val="bbPlcHdr"/>
        </w:types>
        <w:behaviors>
          <w:behavior w:val="content"/>
        </w:behaviors>
        <w:description w:val=""/>
        <w:guid w:val="{967d57ea-df62-4d06-9d03-36f677b2dbf9}"/>
      </w:docPartPr>
      <w:docPartBody>
        <w:p>
          <w:r>
            <w:rPr>
              <w:color w:val="808080"/>
            </w:rPr>
            <w:t>单击此处输入文字。</w:t>
          </w:r>
        </w:p>
      </w:docPartBody>
    </w:docPart>
    <w:docPart>
      <w:docPartPr>
        <w:name w:val="{29bb0bcc-b322-4de1-aaf2-0acf948c83ab}"/>
        <w:style w:val=""/>
        <w:category>
          <w:name w:val="常规"/>
          <w:gallery w:val="placeholder"/>
        </w:category>
        <w:types>
          <w:type w:val="bbPlcHdr"/>
        </w:types>
        <w:behaviors>
          <w:behavior w:val="content"/>
        </w:behaviors>
        <w:description w:val=""/>
        <w:guid w:val="{29bb0bcc-b322-4de1-aaf2-0acf948c83ab}"/>
      </w:docPartPr>
      <w:docPartBody>
        <w:p>
          <w:r>
            <w:rPr>
              <w:color w:val="808080"/>
            </w:rPr>
            <w:t>单击此处输入文字。</w:t>
          </w:r>
        </w:p>
      </w:docPartBody>
    </w:docPart>
    <w:docPart>
      <w:docPartPr>
        <w:name w:val="{8e57f21e-2203-4a2d-a9e3-4efa2b46a5d7}"/>
        <w:style w:val=""/>
        <w:category>
          <w:name w:val="常规"/>
          <w:gallery w:val="placeholder"/>
        </w:category>
        <w:types>
          <w:type w:val="bbPlcHdr"/>
        </w:types>
        <w:behaviors>
          <w:behavior w:val="content"/>
        </w:behaviors>
        <w:description w:val=""/>
        <w:guid w:val="{8e57f21e-2203-4a2d-a9e3-4efa2b46a5d7}"/>
      </w:docPartPr>
      <w:docPartBody>
        <w:p>
          <w:r>
            <w:rPr>
              <w:color w:val="808080"/>
            </w:rPr>
            <w:t>单击此处输入文字。</w:t>
          </w:r>
        </w:p>
      </w:docPartBody>
    </w:docPart>
    <w:docPart>
      <w:docPartPr>
        <w:name w:val="{10bc7415-7e5c-4948-b01b-a2ebc026ddf0}"/>
        <w:style w:val=""/>
        <w:category>
          <w:name w:val="常规"/>
          <w:gallery w:val="placeholder"/>
        </w:category>
        <w:types>
          <w:type w:val="bbPlcHdr"/>
        </w:types>
        <w:behaviors>
          <w:behavior w:val="content"/>
        </w:behaviors>
        <w:description w:val=""/>
        <w:guid w:val="{10bc7415-7e5c-4948-b01b-a2ebc026ddf0}"/>
      </w:docPartPr>
      <w:docPartBody>
        <w:p>
          <w:r>
            <w:rPr>
              <w:color w:val="808080"/>
            </w:rPr>
            <w:t>单击此处输入文字。</w:t>
          </w:r>
        </w:p>
      </w:docPartBody>
    </w:docPart>
    <w:docPart>
      <w:docPartPr>
        <w:name w:val="{b4551b0d-5a82-4324-8882-fb5c8dd98d3a}"/>
        <w:style w:val=""/>
        <w:category>
          <w:name w:val="常规"/>
          <w:gallery w:val="placeholder"/>
        </w:category>
        <w:types>
          <w:type w:val="bbPlcHdr"/>
        </w:types>
        <w:behaviors>
          <w:behavior w:val="content"/>
        </w:behaviors>
        <w:description w:val=""/>
        <w:guid w:val="{b4551b0d-5a82-4324-8882-fb5c8dd98d3a}"/>
      </w:docPartPr>
      <w:docPartBody>
        <w:p>
          <w:r>
            <w:rPr>
              <w:color w:val="808080"/>
            </w:rPr>
            <w:t>单击此处输入文字。</w:t>
          </w:r>
        </w:p>
      </w:docPartBody>
    </w:docPart>
    <w:docPart>
      <w:docPartPr>
        <w:name w:val="{75b55b72-dbff-45c1-aeb7-8f5c628648a1}"/>
        <w:style w:val=""/>
        <w:category>
          <w:name w:val="常规"/>
          <w:gallery w:val="placeholder"/>
        </w:category>
        <w:types>
          <w:type w:val="bbPlcHdr"/>
        </w:types>
        <w:behaviors>
          <w:behavior w:val="content"/>
        </w:behaviors>
        <w:description w:val=""/>
        <w:guid w:val="{75b55b72-dbff-45c1-aeb7-8f5c628648a1}"/>
      </w:docPartPr>
      <w:docPartBody>
        <w:p>
          <w:r>
            <w:rPr>
              <w:color w:val="808080"/>
            </w:rPr>
            <w:t>单击此处输入文字。</w:t>
          </w:r>
        </w:p>
      </w:docPartBody>
    </w:docPart>
    <w:docPart>
      <w:docPartPr>
        <w:name w:val="{6e4d7709-4624-49ae-8607-2533a4e0196b}"/>
        <w:style w:val=""/>
        <w:category>
          <w:name w:val="常规"/>
          <w:gallery w:val="placeholder"/>
        </w:category>
        <w:types>
          <w:type w:val="bbPlcHdr"/>
        </w:types>
        <w:behaviors>
          <w:behavior w:val="content"/>
        </w:behaviors>
        <w:description w:val=""/>
        <w:guid w:val="{6e4d7709-4624-49ae-8607-2533a4e0196b}"/>
      </w:docPartPr>
      <w:docPartBody>
        <w:p>
          <w:r>
            <w:rPr>
              <w:color w:val="808080"/>
            </w:rPr>
            <w:t>单击此处输入文字。</w:t>
          </w:r>
        </w:p>
      </w:docPartBody>
    </w:docPart>
    <w:docPart>
      <w:docPartPr>
        <w:name w:val="{9e5a9f24-9a19-4ece-a57c-7609756eefbf}"/>
        <w:style w:val=""/>
        <w:category>
          <w:name w:val="常规"/>
          <w:gallery w:val="placeholder"/>
        </w:category>
        <w:types>
          <w:type w:val="bbPlcHdr"/>
        </w:types>
        <w:behaviors>
          <w:behavior w:val="content"/>
        </w:behaviors>
        <w:description w:val=""/>
        <w:guid w:val="{9e5a9f24-9a19-4ece-a57c-7609756eefbf}"/>
      </w:docPartPr>
      <w:docPartBody>
        <w:p>
          <w:r>
            <w:rPr>
              <w:color w:val="808080"/>
            </w:rPr>
            <w:t>单击此处输入文字。</w:t>
          </w:r>
        </w:p>
      </w:docPartBody>
    </w:docPart>
    <w:docPart>
      <w:docPartPr>
        <w:name w:val="{ed3ea03f-2e4e-46f8-8638-14d72c88eb1f}"/>
        <w:style w:val=""/>
        <w:category>
          <w:name w:val="常规"/>
          <w:gallery w:val="placeholder"/>
        </w:category>
        <w:types>
          <w:type w:val="bbPlcHdr"/>
        </w:types>
        <w:behaviors>
          <w:behavior w:val="content"/>
        </w:behaviors>
        <w:description w:val=""/>
        <w:guid w:val="{ed3ea03f-2e4e-46f8-8638-14d72c88eb1f}"/>
      </w:docPartPr>
      <w:docPartBody>
        <w:p>
          <w:r>
            <w:rPr>
              <w:color w:val="808080"/>
            </w:rPr>
            <w:t>单击此处输入文字。</w:t>
          </w:r>
        </w:p>
      </w:docPartBody>
    </w:docPart>
    <w:docPart>
      <w:docPartPr>
        <w:name w:val="{e0355aa1-0041-45b5-ad0d-24684391a97b}"/>
        <w:style w:val=""/>
        <w:category>
          <w:name w:val="常规"/>
          <w:gallery w:val="placeholder"/>
        </w:category>
        <w:types>
          <w:type w:val="bbPlcHdr"/>
        </w:types>
        <w:behaviors>
          <w:behavior w:val="content"/>
        </w:behaviors>
        <w:description w:val=""/>
        <w:guid w:val="{e0355aa1-0041-45b5-ad0d-24684391a97b}"/>
      </w:docPartPr>
      <w:docPartBody>
        <w:p>
          <w:r>
            <w:rPr>
              <w:color w:val="808080"/>
            </w:rPr>
            <w:t>单击此处输入文字。</w:t>
          </w:r>
        </w:p>
      </w:docPartBody>
    </w:docPart>
    <w:docPart>
      <w:docPartPr>
        <w:name w:val="{e7e11ff9-0314-41c9-8640-c56d1afc9813}"/>
        <w:style w:val=""/>
        <w:category>
          <w:name w:val="常规"/>
          <w:gallery w:val="placeholder"/>
        </w:category>
        <w:types>
          <w:type w:val="bbPlcHdr"/>
        </w:types>
        <w:behaviors>
          <w:behavior w:val="content"/>
        </w:behaviors>
        <w:description w:val=""/>
        <w:guid w:val="{e7e11ff9-0314-41c9-8640-c56d1afc9813}"/>
      </w:docPartPr>
      <w:docPartBody>
        <w:p>
          <w:r>
            <w:rPr>
              <w:color w:val="808080"/>
            </w:rPr>
            <w:t>单击此处输入文字。</w:t>
          </w:r>
        </w:p>
      </w:docPartBody>
    </w:docPart>
    <w:docPart>
      <w:docPartPr>
        <w:name w:val="{409c57cf-93bf-4546-8b07-ebccb99440e7}"/>
        <w:style w:val=""/>
        <w:category>
          <w:name w:val="常规"/>
          <w:gallery w:val="placeholder"/>
        </w:category>
        <w:types>
          <w:type w:val="bbPlcHdr"/>
        </w:types>
        <w:behaviors>
          <w:behavior w:val="content"/>
        </w:behaviors>
        <w:description w:val=""/>
        <w:guid w:val="{409c57cf-93bf-4546-8b07-ebccb99440e7}"/>
      </w:docPartPr>
      <w:docPartBody>
        <w:p>
          <w:r>
            <w:rPr>
              <w:color w:val="808080"/>
            </w:rPr>
            <w:t>单击此处输入文字。</w:t>
          </w:r>
        </w:p>
      </w:docPartBody>
    </w:docPart>
    <w:docPart>
      <w:docPartPr>
        <w:name w:val="{f860d0bb-5b44-402e-8ac0-c5025f270e48}"/>
        <w:style w:val=""/>
        <w:category>
          <w:name w:val="常规"/>
          <w:gallery w:val="placeholder"/>
        </w:category>
        <w:types>
          <w:type w:val="bbPlcHdr"/>
        </w:types>
        <w:behaviors>
          <w:behavior w:val="content"/>
        </w:behaviors>
        <w:description w:val=""/>
        <w:guid w:val="{f860d0bb-5b44-402e-8ac0-c5025f270e48}"/>
      </w:docPartPr>
      <w:docPartBody>
        <w:p>
          <w:r>
            <w:rPr>
              <w:color w:val="808080"/>
            </w:rPr>
            <w:t>单击此处输入文字。</w:t>
          </w:r>
        </w:p>
      </w:docPartBody>
    </w:docPart>
    <w:docPart>
      <w:docPartPr>
        <w:name w:val="{37b04ace-41f2-4595-bde1-b206715876d1}"/>
        <w:style w:val=""/>
        <w:category>
          <w:name w:val="常规"/>
          <w:gallery w:val="placeholder"/>
        </w:category>
        <w:types>
          <w:type w:val="bbPlcHdr"/>
        </w:types>
        <w:behaviors>
          <w:behavior w:val="content"/>
        </w:behaviors>
        <w:description w:val=""/>
        <w:guid w:val="{37b04ace-41f2-4595-bde1-b206715876d1}"/>
      </w:docPartPr>
      <w:docPartBody>
        <w:p>
          <w:r>
            <w:rPr>
              <w:color w:val="808080"/>
            </w:rPr>
            <w:t>单击此处输入文字。</w:t>
          </w:r>
        </w:p>
      </w:docPartBody>
    </w:docPart>
    <w:docPart>
      <w:docPartPr>
        <w:name w:val="{abc770f7-3a35-4ce7-993c-13da1a3c94ac}"/>
        <w:style w:val=""/>
        <w:category>
          <w:name w:val="常规"/>
          <w:gallery w:val="placeholder"/>
        </w:category>
        <w:types>
          <w:type w:val="bbPlcHdr"/>
        </w:types>
        <w:behaviors>
          <w:behavior w:val="content"/>
        </w:behaviors>
        <w:description w:val=""/>
        <w:guid w:val="{abc770f7-3a35-4ce7-993c-13da1a3c94ac}"/>
      </w:docPartPr>
      <w:docPartBody>
        <w:p>
          <w:r>
            <w:rPr>
              <w:color w:val="808080"/>
            </w:rPr>
            <w:t>单击此处输入文字。</w:t>
          </w:r>
        </w:p>
      </w:docPartBody>
    </w:docPart>
    <w:docPart>
      <w:docPartPr>
        <w:name w:val="{71b4e49e-310f-414f-8efe-cc426716b4f1}"/>
        <w:style w:val=""/>
        <w:category>
          <w:name w:val="常规"/>
          <w:gallery w:val="placeholder"/>
        </w:category>
        <w:types>
          <w:type w:val="bbPlcHdr"/>
        </w:types>
        <w:behaviors>
          <w:behavior w:val="content"/>
        </w:behaviors>
        <w:description w:val=""/>
        <w:guid w:val="{71b4e49e-310f-414f-8efe-cc426716b4f1}"/>
      </w:docPartPr>
      <w:docPartBody>
        <w:p>
          <w:r>
            <w:rPr>
              <w:color w:val="808080"/>
            </w:rPr>
            <w:t>单击此处输入文字。</w:t>
          </w:r>
        </w:p>
      </w:docPartBody>
    </w:docPart>
    <w:docPart>
      <w:docPartPr>
        <w:name w:val="{66e0d971-3e2e-49d5-b3cb-86263e3b0442}"/>
        <w:style w:val=""/>
        <w:category>
          <w:name w:val="常规"/>
          <w:gallery w:val="placeholder"/>
        </w:category>
        <w:types>
          <w:type w:val="bbPlcHdr"/>
        </w:types>
        <w:behaviors>
          <w:behavior w:val="content"/>
        </w:behaviors>
        <w:description w:val=""/>
        <w:guid w:val="{66e0d971-3e2e-49d5-b3cb-86263e3b0442}"/>
      </w:docPartPr>
      <w:docPartBody>
        <w:p>
          <w:r>
            <w:rPr>
              <w:color w:val="808080"/>
            </w:rPr>
            <w:t>单击此处输入文字。</w:t>
          </w:r>
        </w:p>
      </w:docPartBody>
    </w:docPart>
    <w:docPart>
      <w:docPartPr>
        <w:name w:val="{064f6f0b-4e1c-4b55-872b-6882e82538db}"/>
        <w:style w:val=""/>
        <w:category>
          <w:name w:val="常规"/>
          <w:gallery w:val="placeholder"/>
        </w:category>
        <w:types>
          <w:type w:val="bbPlcHdr"/>
        </w:types>
        <w:behaviors>
          <w:behavior w:val="content"/>
        </w:behaviors>
        <w:description w:val=""/>
        <w:guid w:val="{064f6f0b-4e1c-4b55-872b-6882e82538db}"/>
      </w:docPartPr>
      <w:docPartBody>
        <w:p>
          <w:r>
            <w:rPr>
              <w:color w:val="808080"/>
            </w:rPr>
            <w:t>单击此处输入文字。</w:t>
          </w:r>
        </w:p>
      </w:docPartBody>
    </w:docPart>
    <w:docPart>
      <w:docPartPr>
        <w:name w:val="{3d5861b9-e47f-4a9b-8b2a-3a341d1df9aa}"/>
        <w:style w:val=""/>
        <w:category>
          <w:name w:val="常规"/>
          <w:gallery w:val="placeholder"/>
        </w:category>
        <w:types>
          <w:type w:val="bbPlcHdr"/>
        </w:types>
        <w:behaviors>
          <w:behavior w:val="content"/>
        </w:behaviors>
        <w:description w:val=""/>
        <w:guid w:val="{3d5861b9-e47f-4a9b-8b2a-3a341d1df9aa}"/>
      </w:docPartPr>
      <w:docPartBody>
        <w:p>
          <w:r>
            <w:rPr>
              <w:color w:val="808080"/>
            </w:rPr>
            <w:t>单击此处输入文字。</w:t>
          </w:r>
        </w:p>
      </w:docPartBody>
    </w:docPart>
    <w:docPart>
      <w:docPartPr>
        <w:name w:val="{0b77fe0f-d0fd-4bba-8b89-3829a0a8d7a4}"/>
        <w:style w:val=""/>
        <w:category>
          <w:name w:val="常规"/>
          <w:gallery w:val="placeholder"/>
        </w:category>
        <w:types>
          <w:type w:val="bbPlcHdr"/>
        </w:types>
        <w:behaviors>
          <w:behavior w:val="content"/>
        </w:behaviors>
        <w:description w:val=""/>
        <w:guid w:val="{0b77fe0f-d0fd-4bba-8b89-3829a0a8d7a4}"/>
      </w:docPartPr>
      <w:docPartBody>
        <w:p>
          <w:r>
            <w:rPr>
              <w:color w:val="808080"/>
            </w:rPr>
            <w:t>单击此处输入文字。</w:t>
          </w:r>
        </w:p>
      </w:docPartBody>
    </w:docPart>
    <w:docPart>
      <w:docPartPr>
        <w:name w:val="{78701c71-fb90-4916-b2c6-4a74970d1d5a}"/>
        <w:style w:val=""/>
        <w:category>
          <w:name w:val="常规"/>
          <w:gallery w:val="placeholder"/>
        </w:category>
        <w:types>
          <w:type w:val="bbPlcHdr"/>
        </w:types>
        <w:behaviors>
          <w:behavior w:val="content"/>
        </w:behaviors>
        <w:description w:val=""/>
        <w:guid w:val="{78701c71-fb90-4916-b2c6-4a74970d1d5a}"/>
      </w:docPartPr>
      <w:docPartBody>
        <w:p>
          <w:r>
            <w:rPr>
              <w:color w:val="808080"/>
            </w:rPr>
            <w:t>单击此处输入文字。</w:t>
          </w:r>
        </w:p>
      </w:docPartBody>
    </w:docPart>
    <w:docPart>
      <w:docPartPr>
        <w:name w:val="{37b51605-d7fe-4165-b529-ac6370d92062}"/>
        <w:style w:val=""/>
        <w:category>
          <w:name w:val="常规"/>
          <w:gallery w:val="placeholder"/>
        </w:category>
        <w:types>
          <w:type w:val="bbPlcHdr"/>
        </w:types>
        <w:behaviors>
          <w:behavior w:val="content"/>
        </w:behaviors>
        <w:description w:val=""/>
        <w:guid w:val="{37b51605-d7fe-4165-b529-ac6370d92062}"/>
      </w:docPartPr>
      <w:docPartBody>
        <w:p>
          <w:r>
            <w:rPr>
              <w:color w:val="808080"/>
            </w:rPr>
            <w:t>单击此处输入文字。</w:t>
          </w:r>
        </w:p>
      </w:docPartBody>
    </w:docPart>
    <w:docPart>
      <w:docPartPr>
        <w:name w:val="{fd9cee5b-a096-497e-b0e8-ca320f69f4b6}"/>
        <w:style w:val=""/>
        <w:category>
          <w:name w:val="常规"/>
          <w:gallery w:val="placeholder"/>
        </w:category>
        <w:types>
          <w:type w:val="bbPlcHdr"/>
        </w:types>
        <w:behaviors>
          <w:behavior w:val="content"/>
        </w:behaviors>
        <w:description w:val=""/>
        <w:guid w:val="{fd9cee5b-a096-497e-b0e8-ca320f69f4b6}"/>
      </w:docPartPr>
      <w:docPartBody>
        <w:p>
          <w:r>
            <w:rPr>
              <w:color w:val="808080"/>
            </w:rPr>
            <w:t>单击此处输入文字。</w:t>
          </w:r>
        </w:p>
      </w:docPartBody>
    </w:docPart>
    <w:docPart>
      <w:docPartPr>
        <w:name w:val="{d0066470-14b3-410f-b887-0e43463eec63}"/>
        <w:style w:val=""/>
        <w:category>
          <w:name w:val="常规"/>
          <w:gallery w:val="placeholder"/>
        </w:category>
        <w:types>
          <w:type w:val="bbPlcHdr"/>
        </w:types>
        <w:behaviors>
          <w:behavior w:val="content"/>
        </w:behaviors>
        <w:description w:val=""/>
        <w:guid w:val="{d0066470-14b3-410f-b887-0e43463eec63}"/>
      </w:docPartPr>
      <w:docPartBody>
        <w:p>
          <w:r>
            <w:rPr>
              <w:color w:val="808080"/>
            </w:rPr>
            <w:t>单击此处输入文字。</w:t>
          </w:r>
        </w:p>
      </w:docPartBody>
    </w:docPart>
    <w:docPart>
      <w:docPartPr>
        <w:name w:val="{ab17f7a6-a431-47e0-908a-403e0a45a082}"/>
        <w:style w:val=""/>
        <w:category>
          <w:name w:val="常规"/>
          <w:gallery w:val="placeholder"/>
        </w:category>
        <w:types>
          <w:type w:val="bbPlcHdr"/>
        </w:types>
        <w:behaviors>
          <w:behavior w:val="content"/>
        </w:behaviors>
        <w:description w:val=""/>
        <w:guid w:val="{ab17f7a6-a431-47e0-908a-403e0a45a08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楚雄州元谋县党政机关单位</Company>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2022-10-13T03:24:00Z</dcterms:created>
  <dc:creator>刘玲</dc:creator>
  <cp:lastModifiedBy>刘玲</cp:lastModifiedBy>
  <dcterms:modified xsi:type="dcterms:W3CDTF">2022-10-13T03:28:42Z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