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spacing w:line="640" w:lineRule="exact"/>
        <w:jc w:val="center"/>
        <w:rPr>
          <w:rFonts w:hint="default" w:ascii="Times New Roman" w:hAnsi="Times New Roman" w:eastAsia="方正小标宋简体" w:cs="Times New Roman"/>
          <w:b w:val="0"/>
          <w:bCs w:val="0"/>
          <w:sz w:val="44"/>
          <w:szCs w:val="44"/>
        </w:rPr>
      </w:pPr>
      <w:r>
        <w:rPr>
          <w:rStyle w:val="32"/>
          <w:rFonts w:hint="default" w:ascii="Times New Roman" w:hAnsi="Times New Roman" w:eastAsia="方正小标宋简体" w:cs="Times New Roman"/>
          <w:sz w:val="44"/>
          <w:szCs w:val="44"/>
        </w:rPr>
        <w:t>元</w:t>
      </w:r>
      <w:r>
        <w:rPr>
          <w:rStyle w:val="32"/>
          <w:rFonts w:hint="default" w:ascii="Times New Roman" w:hAnsi="Times New Roman" w:eastAsia="方正小标宋简体" w:cs="Times New Roman"/>
          <w:b w:val="0"/>
          <w:bCs w:val="0"/>
          <w:sz w:val="44"/>
          <w:szCs w:val="44"/>
        </w:rPr>
        <w:t>谋县</w:t>
      </w:r>
      <w:r>
        <w:rPr>
          <w:rFonts w:hint="default" w:ascii="Times New Roman" w:hAnsi="Times New Roman" w:eastAsia="方正小标宋简体" w:cs="Times New Roman"/>
          <w:b w:val="0"/>
          <w:bCs w:val="0"/>
          <w:sz w:val="44"/>
          <w:szCs w:val="44"/>
        </w:rPr>
        <w:t>“十四五”健康养生产业发展规划</w:t>
      </w:r>
    </w:p>
    <w:p>
      <w:pPr>
        <w:pStyle w:val="7"/>
        <w:spacing w:line="560" w:lineRule="exact"/>
        <w:ind w:firstLine="640" w:firstLineChars="200"/>
        <w:rPr>
          <w:rFonts w:hint="default" w:ascii="Times New Roman" w:hAnsi="Times New Roman" w:eastAsia="仿宋_GB2312" w:cs="Times New Roman"/>
          <w:kern w:val="21"/>
          <w:sz w:val="32"/>
          <w:szCs w:val="32"/>
        </w:rPr>
      </w:pPr>
    </w:p>
    <w:p>
      <w:pPr>
        <w:pStyle w:val="7"/>
        <w:keepNext w:val="0"/>
        <w:keepLines w:val="0"/>
        <w:pageBreakBefore w:val="0"/>
        <w:widowControl w:val="0"/>
        <w:kinsoku/>
        <w:wordWrap/>
        <w:overflowPunct/>
        <w:topLinePunct w:val="0"/>
        <w:autoSpaceDN/>
        <w:bidi w:val="0"/>
        <w:adjustRightInd/>
        <w:spacing w:after="0" w:line="560" w:lineRule="exact"/>
        <w:ind w:firstLine="640" w:firstLineChars="200"/>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rPr>
        <w:t>健康养生产业是以生物技术和生命科学为先导，以健康长寿为核心，以养生文化为灵魂，以养生产品和养生服务为支撑，以养生资源的开发和养生市场的运营为主体的人文生态型产业，</w:t>
      </w:r>
      <w:r>
        <w:rPr>
          <w:rFonts w:hint="default" w:ascii="Times New Roman" w:hAnsi="Times New Roman" w:eastAsia="仿宋_GB2312" w:cs="Times New Roman"/>
          <w:sz w:val="32"/>
          <w:szCs w:val="32"/>
        </w:rPr>
        <w:t>主要包括医疗保健、健康养老、健康旅游、运动休闲、健康产品和健康金融、“互联网+健康服务”和人居环境等行业和业态</w:t>
      </w:r>
      <w:r>
        <w:rPr>
          <w:rFonts w:hint="default" w:ascii="Times New Roman" w:hAnsi="Times New Roman" w:eastAsia="仿宋_GB2312" w:cs="Times New Roman"/>
          <w:kern w:val="21"/>
          <w:sz w:val="32"/>
          <w:szCs w:val="32"/>
        </w:rPr>
        <w:t>。元谋县</w:t>
      </w:r>
      <w:r>
        <w:rPr>
          <w:rStyle w:val="31"/>
          <w:rFonts w:hint="default" w:ascii="Times New Roman" w:hAnsi="Times New Roman" w:eastAsia="仿宋_GB2312" w:cs="Times New Roman"/>
        </w:rPr>
        <w:t>紧紧围绕楚雄州“一极两区”发展定位，高质量推进“一枢纽两胜地两园两区”建设</w:t>
      </w:r>
      <w:r>
        <w:rPr>
          <w:rFonts w:hint="default" w:ascii="Times New Roman" w:hAnsi="Times New Roman" w:eastAsia="仿宋_GB2312" w:cs="Times New Roman"/>
          <w:sz w:val="32"/>
          <w:szCs w:val="32"/>
        </w:rPr>
        <w:t>，立足我县宜人的气候环境优势、丰富的绿色果蔬优势、深厚的历史文化优势、独特自然景观和优越的交通区位优势，以文化旅游和养生养老产业为基础，全面实施健康元谋战略，</w:t>
      </w:r>
      <w:r>
        <w:rPr>
          <w:rFonts w:hint="default" w:ascii="Times New Roman" w:hAnsi="Times New Roman" w:eastAsia="仿宋_GB2312" w:cs="Times New Roman"/>
          <w:kern w:val="21"/>
          <w:sz w:val="32"/>
          <w:szCs w:val="32"/>
        </w:rPr>
        <w:t>进一步加快我县健康养生产业高质量发展创造得天独厚的优势和良好的基础条件。</w:t>
      </w:r>
    </w:p>
    <w:p>
      <w:pPr>
        <w:keepNext w:val="0"/>
        <w:keepLines w:val="0"/>
        <w:pageBreakBefore w:val="0"/>
        <w:widowControl w:val="0"/>
        <w:kinsoku/>
        <w:wordWrap/>
        <w:overflowPunct/>
        <w:topLinePunct w:val="0"/>
        <w:autoSpaceDN/>
        <w:bidi w:val="0"/>
        <w:adjustRightInd/>
        <w:spacing w:line="560" w:lineRule="exact"/>
        <w:ind w:firstLine="640" w:firstLineChars="200"/>
        <w:rPr>
          <w:rFonts w:hint="default" w:ascii="Times New Roman" w:hAnsi="Times New Roman" w:eastAsia="方正小标宋简体" w:cs="Times New Roman"/>
          <w:kern w:val="21"/>
          <w:sz w:val="44"/>
          <w:szCs w:val="44"/>
        </w:rPr>
      </w:pPr>
      <w:r>
        <w:rPr>
          <w:rFonts w:hint="default" w:ascii="Times New Roman" w:hAnsi="Times New Roman" w:eastAsia="仿宋_GB2312" w:cs="Times New Roman"/>
          <w:sz w:val="32"/>
          <w:szCs w:val="32"/>
        </w:rPr>
        <w:t>为贯彻习近平总书记对云南的“三个定位”，贯彻省委第十一次党代会精神和贯彻落实省委省政府楚雄州现场办公会和州委第十次党代会精神；为加强元谋县健康养生产业发展的顶层设计，依据《国务院关于促进健康服务业发展的若干意见》《促进云南省健康产业高质量发展实施意见》</w:t>
      </w:r>
      <w:r>
        <w:rPr>
          <w:rFonts w:hint="default" w:ascii="Times New Roman" w:hAnsi="Times New Roman" w:eastAsia="仿宋_GB2312" w:cs="Times New Roman"/>
          <w:kern w:val="21"/>
          <w:sz w:val="32"/>
          <w:szCs w:val="32"/>
        </w:rPr>
        <w:t>《楚雄州“十四五”健康养生产业发展规划》</w:t>
      </w:r>
      <w:r>
        <w:rPr>
          <w:rFonts w:hint="default" w:ascii="Times New Roman" w:hAnsi="Times New Roman" w:eastAsia="仿宋_GB2312" w:cs="Times New Roman"/>
          <w:sz w:val="32"/>
          <w:szCs w:val="32"/>
        </w:rPr>
        <w:t>《元谋县国民经济和社会发展第十四个五年规划纲要》和</w:t>
      </w:r>
      <w:r>
        <w:rPr>
          <w:rFonts w:hint="default" w:ascii="Times New Roman" w:hAnsi="Times New Roman" w:eastAsia="仿宋_GB2312" w:cs="Times New Roman"/>
          <w:kern w:val="21"/>
          <w:sz w:val="32"/>
          <w:szCs w:val="32"/>
        </w:rPr>
        <w:t>《元谋县加快文化旅游绿色康养产业发展三年行动方案》，</w:t>
      </w:r>
      <w:r>
        <w:rPr>
          <w:rFonts w:hint="default" w:ascii="Times New Roman" w:hAnsi="Times New Roman" w:eastAsia="仿宋_GB2312" w:cs="Times New Roman"/>
          <w:sz w:val="32"/>
          <w:szCs w:val="32"/>
        </w:rPr>
        <w:t>结合元谋县经济社会发展和</w:t>
      </w:r>
      <w:r>
        <w:rPr>
          <w:rFonts w:hint="default" w:ascii="Times New Roman" w:hAnsi="Times New Roman" w:eastAsia="仿宋_GB2312" w:cs="Times New Roman"/>
          <w:kern w:val="21"/>
          <w:sz w:val="32"/>
          <w:szCs w:val="32"/>
        </w:rPr>
        <w:t>健康养生产业</w:t>
      </w:r>
      <w:r>
        <w:rPr>
          <w:rFonts w:hint="default" w:ascii="Times New Roman" w:hAnsi="Times New Roman" w:eastAsia="仿宋_GB2312" w:cs="Times New Roman"/>
          <w:sz w:val="32"/>
          <w:szCs w:val="32"/>
        </w:rPr>
        <w:t>工作实际，</w:t>
      </w:r>
      <w:r>
        <w:rPr>
          <w:rFonts w:hint="default" w:ascii="Times New Roman" w:hAnsi="Times New Roman" w:eastAsia="仿宋_GB2312" w:cs="Times New Roman"/>
          <w:kern w:val="21"/>
          <w:sz w:val="32"/>
          <w:szCs w:val="32"/>
        </w:rPr>
        <w:t>编制《元谋县“十四五”健康养生产业发展规划》。</w:t>
      </w:r>
    </w:p>
    <w:p>
      <w:pPr>
        <w:pStyle w:val="28"/>
        <w:keepNext w:val="0"/>
        <w:keepLines w:val="0"/>
        <w:pageBreakBefore w:val="0"/>
        <w:widowControl w:val="0"/>
        <w:kinsoku/>
        <w:wordWrap/>
        <w:overflowPunct/>
        <w:topLinePunct w:val="0"/>
        <w:autoSpaceDE w:val="0"/>
        <w:autoSpaceDN/>
        <w:bidi w:val="0"/>
        <w:adjustRightInd/>
        <w:spacing w:line="560" w:lineRule="exact"/>
        <w:jc w:val="center"/>
        <w:rPr>
          <w:rFonts w:hint="default" w:ascii="Times New Roman" w:hAnsi="Times New Roman" w:eastAsia="方正小标宋简体" w:cs="Times New Roman"/>
          <w:kern w:val="21"/>
          <w:sz w:val="44"/>
          <w:szCs w:val="44"/>
        </w:rPr>
      </w:pPr>
      <w:r>
        <w:rPr>
          <w:rFonts w:hint="default" w:ascii="Times New Roman" w:hAnsi="Times New Roman" w:eastAsia="方正小标宋简体" w:cs="Times New Roman"/>
          <w:kern w:val="21"/>
          <w:sz w:val="44"/>
          <w:szCs w:val="44"/>
        </w:rPr>
        <w:t>第一章 发展基础和形势展望</w:t>
      </w:r>
    </w:p>
    <w:p>
      <w:pPr>
        <w:pStyle w:val="28"/>
        <w:keepNext w:val="0"/>
        <w:keepLines w:val="0"/>
        <w:pageBreakBefore w:val="0"/>
        <w:widowControl w:val="0"/>
        <w:kinsoku/>
        <w:wordWrap/>
        <w:overflowPunct/>
        <w:topLinePunct w:val="0"/>
        <w:autoSpaceDE w:val="0"/>
        <w:autoSpaceDN/>
        <w:bidi w:val="0"/>
        <w:adjustRightInd/>
        <w:spacing w:line="560" w:lineRule="exact"/>
        <w:jc w:val="center"/>
        <w:rPr>
          <w:rFonts w:hint="default" w:ascii="Times New Roman" w:hAnsi="Times New Roman" w:eastAsia="方正黑体简体" w:cs="Times New Roman"/>
          <w:kern w:val="21"/>
          <w:sz w:val="32"/>
          <w:szCs w:val="32"/>
        </w:rPr>
      </w:pPr>
      <w:r>
        <w:rPr>
          <w:rFonts w:hint="default" w:ascii="Times New Roman" w:hAnsi="Times New Roman" w:eastAsia="方正黑体简体" w:cs="Times New Roman"/>
          <w:kern w:val="21"/>
          <w:sz w:val="32"/>
          <w:szCs w:val="32"/>
        </w:rPr>
        <w:t>第一节  发展现状</w:t>
      </w:r>
    </w:p>
    <w:p>
      <w:pPr>
        <w:keepNext w:val="0"/>
        <w:keepLines w:val="0"/>
        <w:pageBreakBefore w:val="0"/>
        <w:widowControl w:val="0"/>
        <w:kinsoku/>
        <w:wordWrap/>
        <w:overflowPunct/>
        <w:topLinePunct w:val="0"/>
        <w:autoSpaceDE w:val="0"/>
        <w:autoSpaceDN/>
        <w:bidi w:val="0"/>
        <w:adjustRightInd/>
        <w:spacing w:line="560" w:lineRule="exact"/>
        <w:ind w:firstLine="640" w:firstLineChars="200"/>
        <w:rPr>
          <w:rFonts w:hint="default" w:ascii="Times New Roman" w:hAnsi="Times New Roman" w:eastAsia="黑体" w:cs="Times New Roman"/>
          <w:kern w:val="21"/>
          <w:sz w:val="32"/>
          <w:szCs w:val="32"/>
        </w:rPr>
      </w:pPr>
      <w:r>
        <w:rPr>
          <w:rFonts w:hint="default" w:ascii="Times New Roman" w:hAnsi="Times New Roman" w:eastAsia="黑体" w:cs="Times New Roman"/>
          <w:kern w:val="21"/>
          <w:sz w:val="32"/>
          <w:szCs w:val="32"/>
        </w:rPr>
        <w:t>一、卫生健康服务体系现状</w:t>
      </w:r>
    </w:p>
    <w:p>
      <w:pPr>
        <w:keepNext w:val="0"/>
        <w:keepLines w:val="0"/>
        <w:pageBreakBefore w:val="0"/>
        <w:widowControl w:val="0"/>
        <w:kinsoku/>
        <w:wordWrap/>
        <w:overflowPunct/>
        <w:topLinePunct w:val="0"/>
        <w:autoSpaceDE w:val="0"/>
        <w:autoSpaceDN/>
        <w:bidi w:val="0"/>
        <w:adjustRightInd/>
        <w:spacing w:line="560" w:lineRule="exact"/>
        <w:ind w:firstLine="640" w:firstLineChars="200"/>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（一）健康服务保障体系不断健全。</w:t>
      </w:r>
      <w:r>
        <w:rPr>
          <w:rFonts w:hint="default" w:ascii="Times New Roman" w:hAnsi="Times New Roman" w:eastAsia="仿宋_GB2312" w:cs="Times New Roman"/>
          <w:kern w:val="21"/>
          <w:sz w:val="32"/>
          <w:szCs w:val="32"/>
        </w:rPr>
        <w:t>科学规划全县医疗卫生机构，全县建成卫生医疗机构134个，床位1154张，有医疗卫生专业技术人员1339人，其中执业医师（执业助理医师）543人、注册护士796人，平均每千人拥有卫生专业技术人员6.5人。完成新建江边卫生院、元马镇卫生院甘塘分院建设及71个村卫室的改造提升工程；投资5400万元的县中（彝）医医院搬迁项目建成完工投入使用，服务床位250张；元谋县人民医院分院建设项目稳步推进，2022年底即将投入使用，建成后将新增床位180张。实施县人民医院感染性疾病科、县疾病预防控制中心应急监测项目等应急能力建设，配备应急设备和应急物资。建设胸痛中心、卒中中心、创伤急救中心、危重孕产妇救治中心、危重新生儿救治中心、健全医疗急救体系，提升全县医疗急救服务能力，县乡村三级医疗卫生基础设施、服务体系不断完善夯实。</w:t>
      </w:r>
    </w:p>
    <w:p>
      <w:pPr>
        <w:keepNext w:val="0"/>
        <w:keepLines w:val="0"/>
        <w:pageBreakBefore w:val="0"/>
        <w:widowControl w:val="0"/>
        <w:kinsoku/>
        <w:wordWrap/>
        <w:overflowPunct/>
        <w:topLinePunct w:val="0"/>
        <w:autoSpaceDE w:val="0"/>
        <w:autoSpaceDN/>
        <w:bidi w:val="0"/>
        <w:adjustRightInd/>
        <w:spacing w:line="560" w:lineRule="exact"/>
        <w:ind w:firstLine="640" w:firstLineChars="200"/>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（二）中彝医药服务能力不断加强。</w:t>
      </w:r>
      <w:r>
        <w:rPr>
          <w:rFonts w:hint="default" w:ascii="Times New Roman" w:hAnsi="Times New Roman" w:eastAsia="仿宋_GB2312" w:cs="Times New Roman"/>
          <w:kern w:val="21"/>
          <w:sz w:val="32"/>
          <w:szCs w:val="32"/>
        </w:rPr>
        <w:t>深入贯彻实施《中医药法》《云南省楚雄彝族自治州彝医药条例》及其配套政策措施。依托成功申报的骨伤科、针灸科、急诊医学科省级重点专科优势，致力打造名医、名科、名院建设，深入推进中彝医药振兴工作，2022年6月，元谋中医康复护理中心项目已建成投入使用，充分发挥中彝医药在治未病中的主导作用、在重大疾病治疗中的协同作用、在疾病康复中的核心作用。继续实施彝医医师资格考核认定工作，全县共有中医类别注册医师50人，截止2021年，共39名医生通过彝医医生考核认定，基层中彝医药服务门诊量占基层总门诊量的45%，继续巩固全国基层中医药工作先进单位创建成果，把彝医药服务内容纳入医保报销范围，推进中彝医药与健康服务深度融合。</w:t>
      </w:r>
    </w:p>
    <w:p>
      <w:pPr>
        <w:keepNext w:val="0"/>
        <w:keepLines w:val="0"/>
        <w:pageBreakBefore w:val="0"/>
        <w:widowControl w:val="0"/>
        <w:kinsoku/>
        <w:wordWrap/>
        <w:overflowPunct/>
        <w:topLinePunct w:val="0"/>
        <w:autoSpaceDE w:val="0"/>
        <w:autoSpaceDN/>
        <w:bidi w:val="0"/>
        <w:adjustRightInd/>
        <w:spacing w:line="560" w:lineRule="exact"/>
        <w:ind w:firstLine="640" w:firstLineChars="200"/>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（三）健康养老服务能力不断提升。</w:t>
      </w:r>
      <w:r>
        <w:rPr>
          <w:rFonts w:hint="default" w:ascii="Times New Roman" w:hAnsi="Times New Roman" w:eastAsia="仿宋_GB2312" w:cs="Times New Roman"/>
          <w:kern w:val="21"/>
          <w:sz w:val="32"/>
          <w:szCs w:val="32"/>
        </w:rPr>
        <w:t>工作采取公建民营、民办公助、政府补贴等多种方式兴办养老服务机构，全县建成养老机构34个，床位1630张，其中公办养老机构32个，床位800张；民办养老机构2个，床位830张，实现每千名老人拥有61张供养床位，构建多元化养老模式，不断满足社会养老需求。充分发挥县中（彝）医医院搬迁建设优势，依托县中（彝）医院医疗资源，实施了投资1870万元的老年人护理院和803万元的残疾人托养中心项目，新增床位239个，目前正在积极探索组建医疗养老联合体，逐步形成以县中（彝）医医院为载体，托管老年人护理院和残疾人托养中心，把中医诊疗、中医治未病、中医药养生保健、中医药康复医疗融入健康养老全过程，打造健康养老新模式。</w:t>
      </w:r>
    </w:p>
    <w:p>
      <w:pPr>
        <w:keepNext w:val="0"/>
        <w:keepLines w:val="0"/>
        <w:pageBreakBefore w:val="0"/>
        <w:widowControl w:val="0"/>
        <w:kinsoku/>
        <w:wordWrap/>
        <w:overflowPunct/>
        <w:topLinePunct w:val="0"/>
        <w:autoSpaceDE w:val="0"/>
        <w:autoSpaceDN/>
        <w:bidi w:val="0"/>
        <w:adjustRightInd/>
        <w:spacing w:line="560" w:lineRule="exact"/>
        <w:ind w:firstLine="640" w:firstLineChars="200"/>
        <w:rPr>
          <w:rFonts w:hint="default" w:ascii="Times New Roman" w:hAnsi="Times New Roman" w:eastAsia="仿宋_GB2312" w:cs="Times New Roman"/>
          <w:b/>
          <w:kern w:val="21"/>
          <w:sz w:val="32"/>
          <w:szCs w:val="32"/>
        </w:rPr>
      </w:pPr>
      <w:r>
        <w:rPr>
          <w:rFonts w:hint="default" w:ascii="Times New Roman" w:hAnsi="Times New Roman" w:eastAsia="楷体_GB2312" w:cs="Times New Roman"/>
          <w:kern w:val="21"/>
          <w:sz w:val="32"/>
          <w:szCs w:val="32"/>
        </w:rPr>
        <w:t>（四）健康旅游产业发展基础不断夯实。</w:t>
      </w:r>
      <w:r>
        <w:rPr>
          <w:rFonts w:hint="default" w:ascii="Times New Roman" w:hAnsi="Times New Roman" w:eastAsia="仿宋_GB2312" w:cs="Times New Roman"/>
          <w:kern w:val="21"/>
          <w:sz w:val="32"/>
          <w:szCs w:val="32"/>
        </w:rPr>
        <w:t>十三五”以来，我县认真贯彻落实科学发展观，全面落实州委</w:t>
      </w:r>
      <w:r>
        <w:rPr>
          <w:rStyle w:val="31"/>
          <w:rFonts w:hint="default" w:ascii="Times New Roman" w:hAnsi="Times New Roman" w:eastAsia="仿宋_GB2312" w:cs="Times New Roman"/>
        </w:rPr>
        <w:t>“一极两区”发展定位，县委“一枢纽两胜地两园两区”建设</w:t>
      </w:r>
      <w:r>
        <w:rPr>
          <w:rFonts w:hint="default" w:ascii="Times New Roman" w:hAnsi="Times New Roman" w:eastAsia="仿宋_GB2312" w:cs="Times New Roman"/>
          <w:kern w:val="21"/>
          <w:sz w:val="32"/>
          <w:szCs w:val="32"/>
        </w:rPr>
        <w:t>发展目标，切实抓好以“吃、住、行、游、购、娱、康、体、休”为主的旅游基础设施和接待服务设施建设，不断整合旅游生产力要素，精心培育旅游市场，旅游支柱产业基本形成，旅游拉动经济需求作用明显。全县已创建国家A级景区5个，国家AAAA级景区2个（物茂土林、元谋人世界公园）、国家AAA级景区3个（元谋人博物馆、新华浪巴铺土林、凤凰湖公园），新开发建设旅游景区5个（元谋县红军横渡金沙江渡口景区、凤仪公园、小丙令农业科技示范园、元马古镇、元谋腾飞汽车运动营地）。元谋县先后荣获云南省首批全域旅游示范区、“2020年全国县域旅游发展潜力百佳县”，元谋人博物馆荣获“2019年我最喜欢的云南旅游景区”,元谋龙街红军横渡金沙江渡口入选“全国100个经典红色旅游景区”之一,元谋土林荣获“中国天然影视基地”。</w:t>
      </w:r>
    </w:p>
    <w:p>
      <w:pPr>
        <w:pStyle w:val="10"/>
        <w:keepNext w:val="0"/>
        <w:keepLines w:val="0"/>
        <w:pageBreakBefore w:val="0"/>
        <w:widowControl w:val="0"/>
        <w:kinsoku/>
        <w:wordWrap/>
        <w:overflowPunct/>
        <w:topLinePunct w:val="0"/>
        <w:autoSpaceDE w:val="0"/>
        <w:autoSpaceDN/>
        <w:bidi w:val="0"/>
        <w:adjustRightInd/>
        <w:spacing w:line="560" w:lineRule="exact"/>
        <w:ind w:firstLine="640" w:firstLineChars="200"/>
        <w:jc w:val="both"/>
        <w:rPr>
          <w:rStyle w:val="30"/>
          <w:rFonts w:hint="default" w:ascii="Times New Roman" w:hAnsi="Times New Roman" w:eastAsia="仿宋_GB2312" w:cs="Times New Roman"/>
          <w:b w:val="0"/>
          <w:kern w:val="0"/>
          <w:sz w:val="32"/>
          <w:szCs w:val="32"/>
        </w:rPr>
      </w:pPr>
      <w:r>
        <w:rPr>
          <w:rFonts w:hint="default" w:ascii="Times New Roman" w:hAnsi="Times New Roman" w:eastAsia="楷体_GB2312" w:cs="Times New Roman"/>
          <w:kern w:val="21"/>
          <w:sz w:val="32"/>
          <w:szCs w:val="32"/>
        </w:rPr>
        <w:t>（五）健身休闲运动产业蓬勃发展</w:t>
      </w:r>
      <w:r>
        <w:rPr>
          <w:rFonts w:hint="default" w:ascii="Times New Roman" w:hAnsi="Times New Roman" w:eastAsia="仿宋_GB2312" w:cs="Times New Roman"/>
          <w:b/>
          <w:kern w:val="21"/>
          <w:sz w:val="32"/>
          <w:szCs w:val="32"/>
        </w:rPr>
        <w:t>。</w:t>
      </w:r>
      <w:r>
        <w:rPr>
          <w:rStyle w:val="30"/>
          <w:rFonts w:hint="default" w:ascii="Times New Roman" w:hAnsi="Times New Roman" w:eastAsia="仿宋_GB2312" w:cs="Times New Roman"/>
          <w:b w:val="0"/>
          <w:sz w:val="32"/>
          <w:szCs w:val="32"/>
        </w:rPr>
        <w:t>围绕建设“绿色元谋、健康元谋”和体育强县为奋斗目标</w:t>
      </w:r>
      <w:r>
        <w:rPr>
          <w:rFonts w:hint="default" w:ascii="Times New Roman" w:hAnsi="Times New Roman" w:eastAsia="仿宋_GB2312" w:cs="Times New Roman"/>
          <w:b/>
          <w:kern w:val="21"/>
          <w:sz w:val="32"/>
          <w:szCs w:val="32"/>
        </w:rPr>
        <w:t>、</w:t>
      </w:r>
      <w:r>
        <w:rPr>
          <w:rStyle w:val="30"/>
          <w:rFonts w:hint="default" w:ascii="Times New Roman" w:hAnsi="Times New Roman" w:eastAsia="仿宋_GB2312" w:cs="Times New Roman"/>
          <w:b w:val="0"/>
          <w:sz w:val="32"/>
          <w:szCs w:val="32"/>
        </w:rPr>
        <w:t>科学规划</w:t>
      </w:r>
      <w:r>
        <w:rPr>
          <w:rFonts w:hint="default" w:ascii="Times New Roman" w:hAnsi="Times New Roman" w:eastAsia="仿宋_GB2312" w:cs="Times New Roman"/>
          <w:b/>
          <w:kern w:val="21"/>
          <w:sz w:val="32"/>
          <w:szCs w:val="32"/>
        </w:rPr>
        <w:t>、</w:t>
      </w:r>
      <w:r>
        <w:rPr>
          <w:rStyle w:val="30"/>
          <w:rFonts w:hint="default" w:ascii="Times New Roman" w:hAnsi="Times New Roman" w:eastAsia="仿宋_GB2312" w:cs="Times New Roman"/>
          <w:b w:val="0"/>
          <w:sz w:val="32"/>
          <w:szCs w:val="32"/>
        </w:rPr>
        <w:t>合理布局,县、乡、村三级体育设施不断完善，实现以县体育馆、全民健身广场为核心，以农村基础体育设施为补充的全民健身网络体系。目前，我县建成各类体育健身场活动场地773块，人均拥有体育场地面积达到2.53平方米。建成县老年人体育活动中心一个，10乡镇成立体育健身指导站，78个村委会、社区挂牌成立老年人体育协会活动站，城乡体育设施发展逐步均衡，具有元谋特色、时代特征、覆盖城乡、比较健全完善的全民健身公共服务体系基本形成。</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525"/>
        <w:textAlignment w:val="baseline"/>
        <w:rPr>
          <w:rFonts w:hint="default" w:ascii="Times New Roman" w:hAnsi="Times New Roman" w:cs="Times New Roman"/>
          <w:kern w:val="21"/>
        </w:rPr>
      </w:pPr>
      <w:r>
        <w:rPr>
          <w:rFonts w:hint="default" w:ascii="Times New Roman" w:hAnsi="Times New Roman" w:eastAsia="楷体_GB2312" w:cs="Times New Roman"/>
          <w:kern w:val="21"/>
          <w:sz w:val="32"/>
          <w:szCs w:val="32"/>
        </w:rPr>
        <w:t>（六）健康食品产业持续发展。</w:t>
      </w:r>
      <w:r>
        <w:rPr>
          <w:rFonts w:hint="default" w:ascii="Times New Roman" w:hAnsi="Times New Roman" w:eastAsia="仿宋_GB2312" w:cs="Times New Roman"/>
          <w:kern w:val="21"/>
          <w:sz w:val="32"/>
          <w:szCs w:val="32"/>
        </w:rPr>
        <w:t>元谋是“我国5大重要蔬菜、水果生产基地”、“南菜北运”基地，每年优质果蔬产量达50万吨以上,具有规模大、品种多、产量高、质量优的特点，一年四季瓜果飘香。先后被评为“高原特色农业示范县”“全国农产品质量安示范全县”等荣誉称号。目前，元谋县获得无公害农产品认证27个、绿色食品认证60个、有机产品认证90个，为大力发展绿色农业，积极发展绿色食品产业奠定了基础。</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（七）人居环境不断提升。</w:t>
      </w:r>
      <w:r>
        <w:rPr>
          <w:rFonts w:hint="default" w:ascii="Times New Roman" w:hAnsi="Times New Roman" w:eastAsia="仿宋_GB2312" w:cs="Times New Roman"/>
          <w:kern w:val="21"/>
          <w:sz w:val="32"/>
          <w:szCs w:val="32"/>
        </w:rPr>
        <w:t>以爱国卫生“七个专项行动”和创建国家卫生县城为抓手，持续巩固提升城乡人居环境。围绕“卫生县城”“美丽县城”创建的短板弱项，聚焦群众最关心、最迫切的问题，加快补齐短板弱项，持续提升城市综合承载能力。实施发祥路提升改造、市政基础设施建设（PPP）项目、老旧小区改造等市政基础设施项目，县城内主次道路通畅、路面平整，易涝积水点全面消除；实施元谋县城供水改扩建工程，实现县城建成区自来水全覆盖；推进老旧小区改造，并积极引进物业服务企业开展老旧小区物业管理；推进“厕所革命”县城建成区旱厕实现全面消除；实施龙川江元谋县城区段水环境综合治理、污水处理厂提标改造、县城污水管网新建改造等环境整治项目，城市黑臭水体全面消除；县城建成区日常清扫保洁力度不断加强，常态化清扫和保洁无缝衔接；因地制宜推进生活垃圾处理和污水治理，乡镇镇区和自然村（组）生活垃圾设施覆盖率分别达到100%和60.64%，乡镇镇区生活污水处理设施覆盖率达到44.4%，城乡人居环境逐步改善。</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jc w:val="center"/>
        <w:textAlignment w:val="baseline"/>
        <w:rPr>
          <w:rFonts w:hint="default" w:ascii="Times New Roman" w:hAnsi="Times New Roman" w:eastAsia="方正黑体简体" w:cs="Times New Roman"/>
          <w:kern w:val="21"/>
          <w:sz w:val="32"/>
          <w:szCs w:val="32"/>
        </w:rPr>
      </w:pPr>
      <w:r>
        <w:rPr>
          <w:rFonts w:hint="default" w:ascii="Times New Roman" w:hAnsi="Times New Roman" w:eastAsia="方正黑体简体" w:cs="Times New Roman"/>
          <w:kern w:val="21"/>
          <w:sz w:val="32"/>
          <w:szCs w:val="32"/>
        </w:rPr>
        <w:t>第二节 面临的问题和挑战</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jc w:val="both"/>
        <w:textAlignment w:val="baseline"/>
        <w:rPr>
          <w:rFonts w:hint="default" w:ascii="Times New Roman" w:hAnsi="Times New Roman" w:eastAsia="黑体" w:cs="Times New Roman"/>
          <w:kern w:val="21"/>
          <w:sz w:val="32"/>
          <w:szCs w:val="32"/>
        </w:rPr>
      </w:pPr>
      <w:r>
        <w:rPr>
          <w:rFonts w:hint="default" w:ascii="Times New Roman" w:hAnsi="Times New Roman" w:eastAsia="黑体" w:cs="Times New Roman"/>
          <w:kern w:val="21"/>
          <w:sz w:val="32"/>
          <w:szCs w:val="32"/>
        </w:rPr>
        <w:t>一、保障服务供给滞后</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jc w:val="both"/>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rPr>
        <w:t>从全县健康保障服务能力看，总量不足。全县仅有二级综合医院医院1家（县人民医院）二级专科医院1家（县中医医院）。近年来医疗人才发展速度较慢，总体上难予满足人民群众健康保健服务的需求。医疗资源结构布局不够合理，优质医疗资源集中在县城，基层服务能力较弱，在重大疾病及危急重症救治能力上还需进一步加强。养老服务供给</w:t>
      </w:r>
      <w:r>
        <w:rPr>
          <w:rFonts w:hint="eastAsia" w:ascii="Times New Roman" w:hAnsi="Times New Roman" w:eastAsia="仿宋_GB2312" w:cs="Times New Roman"/>
          <w:kern w:val="21"/>
          <w:sz w:val="32"/>
          <w:szCs w:val="32"/>
          <w:lang w:val="en-US" w:eastAsia="zh-CN"/>
        </w:rPr>
        <w:t xml:space="preserve">  </w:t>
      </w:r>
      <w:r>
        <w:rPr>
          <w:rFonts w:hint="default" w:ascii="Times New Roman" w:hAnsi="Times New Roman" w:eastAsia="仿宋_GB2312" w:cs="Times New Roman"/>
          <w:kern w:val="21"/>
          <w:sz w:val="32"/>
          <w:szCs w:val="32"/>
        </w:rPr>
        <w:t>与需求还尚未形成有效对接，区域间发展不够平衡，护理型养老机构占比较低，养老服务设施利用率不高，居家和社区</w:t>
      </w:r>
      <w:bookmarkStart w:id="0" w:name="_GoBack"/>
      <w:bookmarkEnd w:id="0"/>
      <w:r>
        <w:rPr>
          <w:rFonts w:hint="default" w:ascii="Times New Roman" w:hAnsi="Times New Roman" w:eastAsia="仿宋_GB2312" w:cs="Times New Roman"/>
          <w:kern w:val="21"/>
          <w:sz w:val="32"/>
          <w:szCs w:val="32"/>
        </w:rPr>
        <w:t>养老服务设施配量不足，社会兴办养老服务机构积极性还有待进一步激发。养老与医疗融合不深，养老机构提供医疗服务还存在机构、人员、医保等瓶颈，养老服务整体质量不高。</w:t>
      </w:r>
    </w:p>
    <w:p>
      <w:pPr>
        <w:keepNext w:val="0"/>
        <w:keepLines w:val="0"/>
        <w:pageBreakBefore w:val="0"/>
        <w:widowControl w:val="0"/>
        <w:numPr>
          <w:ilvl w:val="0"/>
          <w:numId w:val="1"/>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jc w:val="both"/>
        <w:textAlignment w:val="baseline"/>
        <w:rPr>
          <w:rFonts w:hint="default" w:ascii="Times New Roman" w:hAnsi="Times New Roman" w:eastAsia="黑体" w:cs="Times New Roman"/>
          <w:kern w:val="21"/>
          <w:sz w:val="32"/>
          <w:szCs w:val="32"/>
        </w:rPr>
      </w:pPr>
      <w:r>
        <w:rPr>
          <w:rFonts w:hint="default" w:ascii="Times New Roman" w:hAnsi="Times New Roman" w:eastAsia="黑体" w:cs="Times New Roman"/>
          <w:kern w:val="21"/>
          <w:sz w:val="32"/>
          <w:szCs w:val="32"/>
        </w:rPr>
        <w:t>旅游休闲养生配套服务能力弱</w:t>
      </w:r>
    </w:p>
    <w:p>
      <w:pPr>
        <w:keepNext w:val="0"/>
        <w:keepLines w:val="0"/>
        <w:pageBreakBefore w:val="0"/>
        <w:widowControl w:val="0"/>
        <w:numPr>
          <w:ilvl w:val="0"/>
          <w:numId w:val="0"/>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jc w:val="both"/>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rPr>
        <w:t>基础设施薄弱，资源开发利用程度低。全县旅游交通基础设施建设配套不够完善；对健康旅游资源认识不足，项目策划规划包装不够，健康旅游资源的开发与其它产业没有有效融合发展，特别是中彝药的开发没有和旅游结合，没有引进有较强实力和管理经验的投资商进行开发建设；全县旅游市场化、法治化环境营造不够，缺乏高端化、特色化、智慧化产品。旅游企业管理水平及服务意识不高，从业人员素质参差不齐。土地、资金、人才等要素保障和政策支撑问题依然突出，投融资难题亟待破解。</w:t>
      </w:r>
    </w:p>
    <w:p>
      <w:pPr>
        <w:keepNext w:val="0"/>
        <w:keepLines w:val="0"/>
        <w:pageBreakBefore w:val="0"/>
        <w:widowControl w:val="0"/>
        <w:numPr>
          <w:ilvl w:val="0"/>
          <w:numId w:val="1"/>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left="0" w:leftChars="0" w:firstLine="640" w:firstLineChars="200"/>
        <w:jc w:val="both"/>
        <w:textAlignment w:val="baseline"/>
        <w:rPr>
          <w:rFonts w:hint="default" w:ascii="Times New Roman" w:hAnsi="Times New Roman" w:eastAsia="黑体" w:cs="Times New Roman"/>
          <w:kern w:val="21"/>
          <w:sz w:val="32"/>
          <w:szCs w:val="32"/>
        </w:rPr>
      </w:pPr>
      <w:r>
        <w:rPr>
          <w:rFonts w:hint="default" w:ascii="Times New Roman" w:hAnsi="Times New Roman" w:eastAsia="黑体" w:cs="Times New Roman"/>
          <w:kern w:val="21"/>
          <w:sz w:val="32"/>
          <w:szCs w:val="32"/>
        </w:rPr>
        <w:t>中彝医药养生保健综合服务能力不强</w:t>
      </w:r>
    </w:p>
    <w:p>
      <w:pPr>
        <w:keepNext w:val="0"/>
        <w:keepLines w:val="0"/>
        <w:pageBreakBefore w:val="0"/>
        <w:widowControl w:val="0"/>
        <w:numPr>
          <w:ilvl w:val="0"/>
          <w:numId w:val="0"/>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jc w:val="both"/>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rPr>
        <w:t>中彝医药发展政策支撑体系不够健全，还未纳入国家民族医药教育和医师资格认证体系体系建设范围，同时，投入不足，扶持力度不够、中彝医药人才不足、养生保健相关行业从业人员素质不高、科研力量薄弱、宣传力度不够，制约了中彝医药产业的振兴和中彝医药事业的快速发展。</w:t>
      </w:r>
    </w:p>
    <w:p>
      <w:pPr>
        <w:keepNext w:val="0"/>
        <w:keepLines w:val="0"/>
        <w:pageBreakBefore w:val="0"/>
        <w:widowControl w:val="0"/>
        <w:numPr>
          <w:ilvl w:val="0"/>
          <w:numId w:val="1"/>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left="0" w:leftChars="0" w:firstLine="640" w:firstLineChars="200"/>
        <w:jc w:val="both"/>
        <w:textAlignment w:val="baseline"/>
        <w:rPr>
          <w:rFonts w:hint="default" w:ascii="Times New Roman" w:hAnsi="Times New Roman" w:eastAsia="黑体" w:cs="Times New Roman"/>
          <w:kern w:val="21"/>
          <w:sz w:val="32"/>
          <w:szCs w:val="32"/>
        </w:rPr>
      </w:pPr>
      <w:r>
        <w:rPr>
          <w:rFonts w:hint="default" w:ascii="Times New Roman" w:hAnsi="Times New Roman" w:eastAsia="黑体" w:cs="Times New Roman"/>
          <w:kern w:val="21"/>
          <w:sz w:val="32"/>
          <w:szCs w:val="32"/>
        </w:rPr>
        <w:t>健康养老服务人才缺口较大</w:t>
      </w:r>
    </w:p>
    <w:p>
      <w:pPr>
        <w:keepNext w:val="0"/>
        <w:keepLines w:val="0"/>
        <w:pageBreakBefore w:val="0"/>
        <w:widowControl w:val="0"/>
        <w:numPr>
          <w:ilvl w:val="0"/>
          <w:numId w:val="0"/>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jc w:val="both"/>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rPr>
        <w:t>全县持有各类培训证书在机构和社区从事养老护理工作的人员41人，其中40岁以上19人，高中以下学历13人，养老护理队伍的人数和专业技能都远远落后于现实需求。同时，健康养老人才的分类标准还不够完善，培养渠道相对单一，周期较长，健康养老服务人员要求也相对比较高，远远不能满足全民健康需要。</w:t>
      </w:r>
    </w:p>
    <w:p>
      <w:pPr>
        <w:keepNext w:val="0"/>
        <w:keepLines w:val="0"/>
        <w:pageBreakBefore w:val="0"/>
        <w:widowControl w:val="0"/>
        <w:numPr>
          <w:ilvl w:val="0"/>
          <w:numId w:val="2"/>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jc w:val="center"/>
        <w:textAlignment w:val="baseline"/>
        <w:rPr>
          <w:rFonts w:hint="default" w:ascii="Times New Roman" w:hAnsi="Times New Roman" w:eastAsia="黑体" w:cs="Times New Roman"/>
          <w:kern w:val="21"/>
          <w:sz w:val="32"/>
          <w:szCs w:val="32"/>
        </w:rPr>
      </w:pPr>
      <w:r>
        <w:rPr>
          <w:rFonts w:hint="default" w:ascii="Times New Roman" w:hAnsi="Times New Roman" w:eastAsia="方正黑体简体" w:cs="Times New Roman"/>
          <w:kern w:val="21"/>
          <w:sz w:val="32"/>
          <w:szCs w:val="32"/>
        </w:rPr>
        <w:t>健康养生产业“十四五”发展面临的形势</w:t>
      </w:r>
    </w:p>
    <w:p>
      <w:pPr>
        <w:keepNext w:val="0"/>
        <w:keepLines w:val="0"/>
        <w:pageBreakBefore w:val="0"/>
        <w:widowControl w:val="0"/>
        <w:numPr>
          <w:ilvl w:val="0"/>
          <w:numId w:val="3"/>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jc w:val="both"/>
        <w:textAlignment w:val="baseline"/>
        <w:rPr>
          <w:rFonts w:hint="default" w:ascii="Times New Roman" w:hAnsi="Times New Roman" w:eastAsia="黑体" w:cs="Times New Roman"/>
          <w:kern w:val="21"/>
          <w:sz w:val="32"/>
          <w:szCs w:val="32"/>
        </w:rPr>
      </w:pPr>
      <w:r>
        <w:rPr>
          <w:rFonts w:hint="default" w:ascii="Times New Roman" w:hAnsi="Times New Roman" w:eastAsia="黑体" w:cs="Times New Roman"/>
          <w:kern w:val="21"/>
          <w:sz w:val="32"/>
          <w:szCs w:val="32"/>
        </w:rPr>
        <w:t>发展趋势</w:t>
      </w:r>
    </w:p>
    <w:p>
      <w:pPr>
        <w:keepNext w:val="0"/>
        <w:keepLines w:val="0"/>
        <w:pageBreakBefore w:val="0"/>
        <w:widowControl w:val="0"/>
        <w:numPr>
          <w:ilvl w:val="0"/>
          <w:numId w:val="0"/>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jc w:val="both"/>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rPr>
        <w:t>健康养生产业是二十一世纪的黄金产业。随着社会的进步，人民生活水平的不断提高，生活方式的持续转变，健康意识的增强，人口老龄化问题日益凸显，健康养生产业迎来了前所未有的发展机遇。人口总量的增长和老龄化进程加快，亚健康人数增多，慢性疾病成为预防医学的首要目标，健康消费由医疗治疗型向疾病预防型、保健型和健康促进型转变。国家新医改方案把预防和控制疾病放在首位，充分体现了更加重视“治未病”的政策导向。国家深化医疗卫生体制改革，医保体系不断健全，居民支付能力不断增强，人们对健康养生服务需求快速增加。</w:t>
      </w:r>
    </w:p>
    <w:p>
      <w:pPr>
        <w:keepNext w:val="0"/>
        <w:keepLines w:val="0"/>
        <w:pageBreakBefore w:val="0"/>
        <w:widowControl w:val="0"/>
        <w:numPr>
          <w:ilvl w:val="0"/>
          <w:numId w:val="3"/>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left="0" w:leftChars="0" w:firstLine="640" w:firstLineChars="200"/>
        <w:jc w:val="both"/>
        <w:textAlignment w:val="baseline"/>
        <w:rPr>
          <w:rFonts w:hint="default" w:ascii="Times New Roman" w:hAnsi="Times New Roman" w:eastAsia="黑体" w:cs="Times New Roman"/>
          <w:kern w:val="21"/>
          <w:sz w:val="32"/>
          <w:szCs w:val="32"/>
        </w:rPr>
      </w:pPr>
      <w:r>
        <w:rPr>
          <w:rFonts w:hint="default" w:ascii="Times New Roman" w:hAnsi="Times New Roman" w:eastAsia="黑体" w:cs="Times New Roman"/>
          <w:kern w:val="21"/>
          <w:sz w:val="32"/>
          <w:szCs w:val="32"/>
        </w:rPr>
        <w:t>发展机遇</w:t>
      </w:r>
    </w:p>
    <w:p>
      <w:pPr>
        <w:keepNext w:val="0"/>
        <w:keepLines w:val="0"/>
        <w:pageBreakBefore w:val="0"/>
        <w:widowControl w:val="0"/>
        <w:numPr>
          <w:ilvl w:val="0"/>
          <w:numId w:val="4"/>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jc w:val="both"/>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政策红利不断释放是发展的重大机遇</w:t>
      </w:r>
    </w:p>
    <w:p>
      <w:pPr>
        <w:keepNext w:val="0"/>
        <w:keepLines w:val="0"/>
        <w:pageBreakBefore w:val="0"/>
        <w:widowControl w:val="0"/>
        <w:numPr>
          <w:ilvl w:val="0"/>
          <w:numId w:val="0"/>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jc w:val="both"/>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sz w:val="32"/>
          <w:szCs w:val="32"/>
        </w:rPr>
        <w:t>党的十九大报告将健康中国战略纳入国家发展的基本方略，表明健康中国建设进入了全面实施阶段。2020年两会前夕，中共中央、国务院发布《中共中央 国务院关于新时代推进西部大开发形成新格局的指导意见》首次将健康养生产业作为区域重要的支柱产业之一来发展。2020年7月27日，云南省委、省政府出台《关于加快构建现代化产业体系的决定》，把健康服务业列为5个万亿级支柱产业之一，要求到2025年，健康服务业主营业务收入将达到5000亿元，到2035年，云南成为服务全国、辐射南亚东南亚的健康服务产业集聚区和健康生活目的地。从中央到地方都把健康养生产业作为经济社会发展的新动能，开启了新时代健康养生产业发展的新篇章，</w:t>
      </w:r>
      <w:r>
        <w:rPr>
          <w:rFonts w:hint="default" w:ascii="Times New Roman" w:hAnsi="Times New Roman" w:eastAsia="仿宋_GB2312" w:cs="Times New Roman"/>
          <w:kern w:val="21"/>
          <w:sz w:val="32"/>
          <w:szCs w:val="32"/>
        </w:rPr>
        <w:t>这为我县健康养生产业发展提供了根本遵循的依据，释放了巨大的政策红利。</w:t>
      </w:r>
    </w:p>
    <w:p>
      <w:pPr>
        <w:keepNext w:val="0"/>
        <w:keepLines w:val="0"/>
        <w:pageBreakBefore w:val="0"/>
        <w:widowControl w:val="0"/>
        <w:numPr>
          <w:ilvl w:val="0"/>
          <w:numId w:val="4"/>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left="0" w:leftChars="0" w:firstLine="640" w:firstLineChars="200"/>
        <w:jc w:val="both"/>
        <w:textAlignment w:val="baseline"/>
        <w:rPr>
          <w:rFonts w:hint="default" w:ascii="Times New Roman" w:hAnsi="Times New Roman" w:eastAsia="楷体_GB2312" w:cs="Times New Roman"/>
          <w:kern w:val="21"/>
          <w:sz w:val="32"/>
          <w:szCs w:val="32"/>
        </w:rPr>
      </w:pPr>
      <w:r>
        <w:rPr>
          <w:rFonts w:hint="default" w:ascii="Times New Roman" w:hAnsi="Times New Roman" w:eastAsia="楷体_GB2312" w:cs="Times New Roman"/>
          <w:kern w:val="21"/>
          <w:sz w:val="32"/>
          <w:szCs w:val="32"/>
        </w:rPr>
        <w:t>大市场需求是健康养生产业发展的重要支撑</w:t>
      </w:r>
    </w:p>
    <w:p>
      <w:pPr>
        <w:keepNext w:val="0"/>
        <w:keepLines w:val="0"/>
        <w:pageBreakBefore w:val="0"/>
        <w:widowControl w:val="0"/>
        <w:numPr>
          <w:ilvl w:val="0"/>
          <w:numId w:val="0"/>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jc w:val="both"/>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rPr>
        <w:t>2021年末全县常住人口20.15万人，其中60岁以上老年人口数为33460人，占比16.6%。</w:t>
      </w:r>
      <w:r>
        <w:rPr>
          <w:rFonts w:hint="default" w:ascii="Times New Roman" w:hAnsi="Times New Roman" w:eastAsia="仿宋_GB2312" w:cs="Times New Roman"/>
          <w:sz w:val="32"/>
          <w:szCs w:val="32"/>
        </w:rPr>
        <w:t>我县人口老龄化不断加快，老年消费群体和规模进一步扩大，需求模式进一步丰富，</w:t>
      </w:r>
      <w:r>
        <w:rPr>
          <w:rFonts w:hint="default" w:ascii="Times New Roman" w:hAnsi="Times New Roman" w:eastAsia="仿宋_GB2312" w:cs="Times New Roman"/>
          <w:kern w:val="21"/>
          <w:sz w:val="32"/>
          <w:szCs w:val="32"/>
        </w:rPr>
        <w:t>对健康养生产业形成了较大的助推力。群众对健康的重视程度逐渐增强，在保健、疗养、运动等方面的投入逐步增多，对健康养生产品和服务的需求快速增长，随着动车的开通和高速路网的日益完善，省内外到元谋旅居人员也益增多，也为我县康养产业的发展提供了广阔的市场空间。</w:t>
      </w:r>
    </w:p>
    <w:p>
      <w:pPr>
        <w:keepNext w:val="0"/>
        <w:keepLines w:val="0"/>
        <w:pageBreakBefore w:val="0"/>
        <w:widowControl w:val="0"/>
        <w:numPr>
          <w:ilvl w:val="0"/>
          <w:numId w:val="4"/>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left="0" w:leftChars="0" w:firstLine="640" w:firstLineChars="200"/>
        <w:jc w:val="both"/>
        <w:textAlignment w:val="baseline"/>
        <w:rPr>
          <w:rFonts w:hint="default" w:ascii="Times New Roman" w:hAnsi="Times New Roman" w:eastAsia="楷体_GB2312" w:cs="Times New Roman"/>
          <w:kern w:val="21"/>
          <w:sz w:val="32"/>
          <w:szCs w:val="32"/>
        </w:rPr>
      </w:pPr>
      <w:r>
        <w:rPr>
          <w:rFonts w:hint="default" w:ascii="Times New Roman" w:hAnsi="Times New Roman" w:eastAsia="楷体_GB2312" w:cs="Times New Roman"/>
          <w:kern w:val="21"/>
          <w:sz w:val="32"/>
          <w:szCs w:val="32"/>
        </w:rPr>
        <w:t>经济社会发展的新旧动能转换是健康养生产业发展的重要保障</w:t>
      </w:r>
    </w:p>
    <w:p>
      <w:pPr>
        <w:keepNext w:val="0"/>
        <w:keepLines w:val="0"/>
        <w:pageBreakBefore w:val="0"/>
        <w:widowControl w:val="0"/>
        <w:numPr>
          <w:ilvl w:val="0"/>
          <w:numId w:val="0"/>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jc w:val="both"/>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rPr>
        <w:t>元谋县正处于战略叠加的机遇期，激活创新发展新动能有利于聚集康养产业发展所需的人才、资金、技术等要素，为健康养生产业发展带来基础保障和强劲动力，也为我县加快健康养生产业迎来新的发展机遇。</w:t>
      </w:r>
    </w:p>
    <w:p>
      <w:pPr>
        <w:keepNext w:val="0"/>
        <w:keepLines w:val="0"/>
        <w:pageBreakBefore w:val="0"/>
        <w:widowControl w:val="0"/>
        <w:numPr>
          <w:ilvl w:val="0"/>
          <w:numId w:val="0"/>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leftChars="0"/>
        <w:jc w:val="center"/>
        <w:textAlignment w:val="baseline"/>
        <w:rPr>
          <w:rFonts w:hint="eastAsia" w:ascii="Times New Roman" w:hAnsi="Times New Roman" w:eastAsia="方正小标宋简体" w:cs="Times New Roman"/>
          <w:kern w:val="21"/>
          <w:sz w:val="44"/>
          <w:szCs w:val="44"/>
          <w:lang w:eastAsia="zh-CN"/>
        </w:rPr>
      </w:pPr>
    </w:p>
    <w:p>
      <w:pPr>
        <w:keepNext w:val="0"/>
        <w:keepLines w:val="0"/>
        <w:pageBreakBefore w:val="0"/>
        <w:widowControl w:val="0"/>
        <w:numPr>
          <w:ilvl w:val="0"/>
          <w:numId w:val="0"/>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leftChars="0"/>
        <w:jc w:val="center"/>
        <w:textAlignment w:val="baseline"/>
        <w:rPr>
          <w:rFonts w:hint="default" w:ascii="Times New Roman" w:hAnsi="Times New Roman" w:eastAsia="方正小标宋简体" w:cs="Times New Roman"/>
          <w:kern w:val="21"/>
          <w:sz w:val="44"/>
          <w:szCs w:val="44"/>
        </w:rPr>
      </w:pPr>
      <w:r>
        <w:rPr>
          <w:rFonts w:hint="eastAsia" w:ascii="Times New Roman" w:hAnsi="Times New Roman" w:eastAsia="方正小标宋简体" w:cs="Times New Roman"/>
          <w:kern w:val="21"/>
          <w:sz w:val="44"/>
          <w:szCs w:val="44"/>
          <w:lang w:eastAsia="zh-CN"/>
        </w:rPr>
        <w:t>第二章</w:t>
      </w:r>
      <w:r>
        <w:rPr>
          <w:rFonts w:hint="default" w:ascii="Times New Roman" w:hAnsi="Times New Roman" w:eastAsia="方正小标宋简体" w:cs="Times New Roman"/>
          <w:kern w:val="21"/>
          <w:sz w:val="44"/>
          <w:szCs w:val="44"/>
        </w:rPr>
        <w:t xml:space="preserve">  总体思路和目标</w:t>
      </w:r>
    </w:p>
    <w:p>
      <w:pPr>
        <w:keepNext w:val="0"/>
        <w:keepLines w:val="0"/>
        <w:pageBreakBefore w:val="0"/>
        <w:widowControl w:val="0"/>
        <w:numPr>
          <w:ilvl w:val="0"/>
          <w:numId w:val="5"/>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jc w:val="center"/>
        <w:textAlignment w:val="baseline"/>
        <w:rPr>
          <w:rFonts w:hint="default" w:ascii="Times New Roman" w:hAnsi="Times New Roman" w:eastAsia="方正黑体简体" w:cs="Times New Roman"/>
          <w:kern w:val="21"/>
          <w:sz w:val="32"/>
          <w:szCs w:val="32"/>
        </w:rPr>
      </w:pPr>
      <w:r>
        <w:rPr>
          <w:rFonts w:hint="default" w:ascii="Times New Roman" w:hAnsi="Times New Roman" w:eastAsia="方正黑体简体" w:cs="Times New Roman"/>
          <w:kern w:val="21"/>
          <w:sz w:val="32"/>
          <w:szCs w:val="32"/>
        </w:rPr>
        <w:t xml:space="preserve"> 指导思想</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sz w:val="32"/>
          <w:szCs w:val="32"/>
          <w:shd w:val="clear" w:color="auto" w:fill="FFFFFF"/>
        </w:rPr>
        <w:t>以习近平新时代中国特色社会主义思想为指导，</w:t>
      </w:r>
      <w:r>
        <w:rPr>
          <w:rFonts w:hint="default" w:ascii="Times New Roman" w:hAnsi="Times New Roman" w:eastAsia="仿宋_GB2312" w:cs="Times New Roman"/>
          <w:sz w:val="32"/>
          <w:szCs w:val="32"/>
        </w:rPr>
        <w:t>深入贯彻党的十九大和十九届历次全会精神，</w:t>
      </w:r>
      <w:r>
        <w:rPr>
          <w:rFonts w:hint="default" w:ascii="Times New Roman" w:hAnsi="Times New Roman" w:eastAsia="仿宋_GB2312" w:cs="Times New Roman"/>
          <w:sz w:val="32"/>
          <w:szCs w:val="32"/>
          <w:shd w:val="clear" w:color="auto" w:fill="FFFFFF"/>
        </w:rPr>
        <w:t>深入贯彻落实习近平总书记考察云南重要讲话和系列重要指示精神，</w:t>
      </w:r>
      <w:r>
        <w:rPr>
          <w:rFonts w:hint="default" w:ascii="Times New Roman" w:hAnsi="Times New Roman" w:eastAsia="仿宋_GB2312" w:cs="Times New Roman"/>
          <w:sz w:val="32"/>
          <w:szCs w:val="32"/>
        </w:rPr>
        <w:t>全面贯彻党的基本理论、基本路线、基本方略，统筹推进“五位一体”总体布局，协调推进“四个全面”战略布局，</w:t>
      </w:r>
      <w:r>
        <w:rPr>
          <w:rFonts w:hint="default" w:ascii="Times New Roman" w:hAnsi="Times New Roman" w:eastAsia="仿宋_GB2312" w:cs="Times New Roman"/>
          <w:sz w:val="32"/>
          <w:szCs w:val="32"/>
          <w:shd w:val="clear" w:color="auto" w:fill="FFFFFF"/>
        </w:rPr>
        <w:t>立足新发展阶段，完整准确全面贯彻新发展理念，主动服务和融入新发展格局。认真贯彻落实省第十一次党代会精神、省委省政府楚雄现场办公会会议精神，州第十次党代会精神</w:t>
      </w:r>
      <w:r>
        <w:rPr>
          <w:rFonts w:hint="default" w:ascii="Times New Roman" w:hAnsi="Times New Roman" w:eastAsia="方正仿宋简体" w:cs="Times New Roman"/>
          <w:sz w:val="32"/>
          <w:szCs w:val="32"/>
          <w:shd w:val="clear" w:color="auto" w:fill="FFFFFF"/>
        </w:rPr>
        <w:t>。</w:t>
      </w:r>
      <w:r>
        <w:rPr>
          <w:rFonts w:hint="default" w:ascii="Times New Roman" w:hAnsi="Times New Roman" w:eastAsia="仿宋_GB2312" w:cs="Times New Roman"/>
          <w:kern w:val="21"/>
          <w:sz w:val="32"/>
          <w:szCs w:val="32"/>
          <w:shd w:val="clear" w:color="auto" w:fill="FFFFFF"/>
        </w:rPr>
        <w:t>元谋县</w:t>
      </w:r>
      <w:r>
        <w:rPr>
          <w:rFonts w:hint="default" w:ascii="Times New Roman" w:hAnsi="Times New Roman" w:eastAsia="仿宋_GB2312" w:cs="Times New Roman"/>
          <w:kern w:val="21"/>
          <w:sz w:val="32"/>
          <w:szCs w:val="32"/>
        </w:rPr>
        <w:t>以国家、省、州促进健康产业发展政策为契机，秉承“生态、形态、业态、文态”四态结合的理念，以维护和促进人民群众身心健康为目标，发挥元谋深厚的历史文化底蕴及自然资源优势，</w:t>
      </w:r>
      <w:r>
        <w:rPr>
          <w:rFonts w:hint="default" w:ascii="Times New Roman" w:hAnsi="Times New Roman" w:eastAsia="方正仿宋简体" w:cs="Times New Roman"/>
          <w:sz w:val="32"/>
          <w:szCs w:val="32"/>
        </w:rPr>
        <w:t>大力发展医疗保健、健康养老、健康旅游、运动休闲、健康产品、健康金融和互联网+健康服务及相关支撑产业</w:t>
      </w:r>
      <w:r>
        <w:rPr>
          <w:rFonts w:hint="default" w:ascii="Times New Roman" w:hAnsi="Times New Roman" w:eastAsia="仿宋_GB2312" w:cs="Times New Roman"/>
          <w:kern w:val="21"/>
          <w:sz w:val="32"/>
          <w:szCs w:val="32"/>
        </w:rPr>
        <w:t>，打造一批知名度高、带动力强的健康养生产业。突出打造“人类始祖地·绿色康养乡”发展定位，坚持“创新、协调、绿色、开放、共享”的发展理念，努力将我县打造成世界一流健康生活目的地和全省绿色产业创新及健康养老养生基地。</w:t>
      </w:r>
    </w:p>
    <w:p>
      <w:pPr>
        <w:keepNext w:val="0"/>
        <w:keepLines w:val="0"/>
        <w:pageBreakBefore w:val="0"/>
        <w:widowControl w:val="0"/>
        <w:numPr>
          <w:ilvl w:val="0"/>
          <w:numId w:val="5"/>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jc w:val="center"/>
        <w:textAlignment w:val="baseline"/>
        <w:rPr>
          <w:rFonts w:hint="default" w:ascii="Times New Roman" w:hAnsi="Times New Roman" w:eastAsia="黑体" w:cs="Times New Roman"/>
          <w:kern w:val="21"/>
          <w:sz w:val="32"/>
          <w:szCs w:val="32"/>
        </w:rPr>
      </w:pPr>
      <w:r>
        <w:rPr>
          <w:rFonts w:hint="default" w:ascii="Times New Roman" w:hAnsi="Times New Roman" w:eastAsia="黑体" w:cs="Times New Roman"/>
          <w:kern w:val="21"/>
          <w:sz w:val="32"/>
          <w:szCs w:val="32"/>
        </w:rPr>
        <w:t xml:space="preserve"> 基本原则</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3"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rPr>
        <w:t xml:space="preserve">——因地制宜，统筹发展  </w:t>
      </w:r>
      <w:r>
        <w:rPr>
          <w:rFonts w:hint="default" w:ascii="Times New Roman" w:hAnsi="Times New Roman" w:eastAsia="仿宋_GB2312" w:cs="Times New Roman"/>
          <w:kern w:val="21"/>
          <w:sz w:val="32"/>
          <w:szCs w:val="32"/>
        </w:rPr>
        <w:t>坚持因地制宜的原则，紧密结合元谋县情,充分发挥元谋县绿色产业、交通区位、民族文化、气候环境的优势，围绕优势做好开发绿色食品、绿色能源、健康生活目的地的大文章，打好绿色资源牌，统筹全域优势资源，整体布局，全面发展，同时依托资源特点，在关键区域、资源富集区域开展精品建设，促进资源的高效利用和开发，形成产业集聚发展的态势。</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3"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rPr>
        <w:t xml:space="preserve">——多业联动，融合发展  </w:t>
      </w:r>
      <w:r>
        <w:rPr>
          <w:rFonts w:hint="default" w:ascii="Times New Roman" w:hAnsi="Times New Roman" w:eastAsia="仿宋_GB2312" w:cs="Times New Roman"/>
          <w:kern w:val="21"/>
          <w:sz w:val="32"/>
          <w:szCs w:val="32"/>
        </w:rPr>
        <w:t>拓展工业和现代农业在健康市场的利用，以工业和农业发展支撑健康养生产业的发展，积极推动三大产业的融合发展。加快推动健康养生理念与城镇各类资源的整合，通过综合开发、整合利用优势资源，加快发展城镇特色健康经济。加快健康养生产业内部融合，健全健康服务产业体系，实现全产业链发展。</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3"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rPr>
        <w:t xml:space="preserve">——品牌带动，优质发展  </w:t>
      </w:r>
      <w:r>
        <w:rPr>
          <w:rFonts w:hint="default" w:ascii="Times New Roman" w:hAnsi="Times New Roman" w:eastAsia="仿宋_GB2312" w:cs="Times New Roman"/>
          <w:kern w:val="21"/>
          <w:sz w:val="32"/>
          <w:szCs w:val="32"/>
        </w:rPr>
        <w:t>把握健康领域发展规律，着力开发建设一批资源品位高、配套条件好、市场潜力大、组合能力强、带动作用显著的健康养生产业精品项目、示范园区和基地，推动产品国际化、营销国际化和服务品质国际化，以全球化的高度和理念塑造彝州健康养生产业名片，突出稀缺性和独特性，创建一批高起点、高质量、高水平的核心品牌。</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3"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rPr>
        <w:t xml:space="preserve">——创新驱动，特色发展  </w:t>
      </w:r>
      <w:r>
        <w:rPr>
          <w:rFonts w:hint="default" w:ascii="Times New Roman" w:hAnsi="Times New Roman" w:eastAsia="仿宋_GB2312" w:cs="Times New Roman"/>
          <w:kern w:val="21"/>
          <w:sz w:val="32"/>
          <w:szCs w:val="32"/>
        </w:rPr>
        <w:t>着力强化创新驱动，加快创新平台建设，坚定不移推动健康养生产业高新化发展。推进新技术的研发和应用，促进企业用创意做引擎、用创新做推力。积极推动管理、服务体制机制创新，推进政府管理方式和服务机制创新，以大市场理念谋划发展。</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3"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rPr>
        <w:t xml:space="preserve">——生态优先，持续发展  </w:t>
      </w:r>
      <w:r>
        <w:rPr>
          <w:rFonts w:hint="default" w:ascii="Times New Roman" w:hAnsi="Times New Roman" w:eastAsia="仿宋_GB2312" w:cs="Times New Roman"/>
          <w:kern w:val="21"/>
          <w:sz w:val="32"/>
          <w:szCs w:val="32"/>
        </w:rPr>
        <w:t>突出以绿水青山为基础的绿色生态导向，创设绿色政策，推广绿色模式，提供更多优质生态产品以满足人民日益增长的优美生态环境需要。必须坚持节约优先、保护优先为主的方针，形成节约资源和保护环境的空间格局、产业结构、生产方式和生活方式。</w:t>
      </w:r>
    </w:p>
    <w:p>
      <w:pPr>
        <w:keepNext w:val="0"/>
        <w:keepLines w:val="0"/>
        <w:pageBreakBefore w:val="0"/>
        <w:widowControl w:val="0"/>
        <w:numPr>
          <w:ilvl w:val="0"/>
          <w:numId w:val="5"/>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jc w:val="center"/>
        <w:textAlignment w:val="baseline"/>
        <w:rPr>
          <w:rFonts w:hint="default" w:ascii="Times New Roman" w:hAnsi="Times New Roman" w:eastAsia="黑体" w:cs="Times New Roman"/>
          <w:kern w:val="21"/>
          <w:sz w:val="32"/>
          <w:szCs w:val="32"/>
        </w:rPr>
      </w:pPr>
      <w:r>
        <w:rPr>
          <w:rFonts w:hint="default" w:ascii="Times New Roman" w:hAnsi="Times New Roman" w:eastAsia="黑体" w:cs="Times New Roman"/>
          <w:kern w:val="21"/>
          <w:sz w:val="32"/>
          <w:szCs w:val="32"/>
        </w:rPr>
        <w:t xml:space="preserve"> 发展定位</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黑体" w:cs="Times New Roman"/>
          <w:kern w:val="21"/>
          <w:sz w:val="32"/>
          <w:szCs w:val="32"/>
        </w:rPr>
      </w:pPr>
      <w:r>
        <w:rPr>
          <w:rFonts w:hint="default" w:ascii="Times New Roman" w:hAnsi="Times New Roman" w:eastAsia="黑体" w:cs="Times New Roman"/>
          <w:kern w:val="21"/>
          <w:sz w:val="32"/>
          <w:szCs w:val="32"/>
        </w:rPr>
        <w:t>一、发展定位</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rPr>
        <w:t>立足人民日益增长的健康需求，秉承“生态、形态、业态、文态”四态结合的理念，到2025年，元谋健康养生产业规模显著扩大、人民健康状况得到改善、医疗和养老服务体系更加健全、健康产业发展的支撑平台和保障体系得到完善，基本建立覆盖全生命周期、内涵丰富、融合性高、特色鲜明、资源布局合理的健康养生产业体系，充分发挥我县独具特色的气候环境、交通区位、民族文化、绿色产业等优势，引进、培育与健康产业紧密关联的绿色食品种植加工、文化旅游、绿色能源、中药材种植（养殖）加工和流通、养老养生、健康医疗等企业，努力打造</w:t>
      </w:r>
      <w:r>
        <w:rPr>
          <w:rStyle w:val="31"/>
          <w:rFonts w:hint="default" w:ascii="Times New Roman" w:hAnsi="Times New Roman" w:eastAsia="仿宋_GB2312" w:cs="Times New Roman"/>
        </w:rPr>
        <w:t>“一枢纽两胜地两园两区”</w:t>
      </w:r>
      <w:r>
        <w:rPr>
          <w:rFonts w:hint="default" w:ascii="Times New Roman" w:hAnsi="Times New Roman" w:eastAsia="仿宋_GB2312" w:cs="Times New Roman"/>
          <w:kern w:val="21"/>
          <w:sz w:val="32"/>
          <w:szCs w:val="32"/>
        </w:rPr>
        <w:t>。力争到2025年健康养生产业真正成为主要支柱产业。</w:t>
      </w:r>
    </w:p>
    <w:p>
      <w:pPr>
        <w:keepNext w:val="0"/>
        <w:keepLines w:val="0"/>
        <w:pageBreakBefore w:val="0"/>
        <w:widowControl w:val="0"/>
        <w:numPr>
          <w:ilvl w:val="0"/>
          <w:numId w:val="0"/>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黑体" w:cs="Times New Roman"/>
          <w:kern w:val="21"/>
          <w:sz w:val="32"/>
          <w:szCs w:val="32"/>
        </w:rPr>
      </w:pPr>
      <w:r>
        <w:rPr>
          <w:rFonts w:hint="eastAsia" w:ascii="Times New Roman" w:hAnsi="Times New Roman" w:eastAsia="黑体" w:cs="Times New Roman"/>
          <w:kern w:val="21"/>
          <w:sz w:val="32"/>
          <w:szCs w:val="32"/>
          <w:lang w:eastAsia="zh-CN"/>
        </w:rPr>
        <w:t>二、</w:t>
      </w:r>
      <w:r>
        <w:rPr>
          <w:rFonts w:hint="default" w:ascii="Times New Roman" w:hAnsi="Times New Roman" w:eastAsia="黑体" w:cs="Times New Roman"/>
          <w:kern w:val="21"/>
          <w:sz w:val="32"/>
          <w:szCs w:val="32"/>
        </w:rPr>
        <w:t>发展目标</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3"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rPr>
        <w:t xml:space="preserve">——品牌培育目标  </w:t>
      </w:r>
      <w:r>
        <w:rPr>
          <w:rFonts w:hint="default" w:ascii="Times New Roman" w:hAnsi="Times New Roman" w:eastAsia="仿宋_GB2312" w:cs="Times New Roman"/>
          <w:kern w:val="21"/>
          <w:sz w:val="32"/>
          <w:szCs w:val="32"/>
        </w:rPr>
        <w:t>着力打造“东方人类故乡”、“冬早蔬菜之乡”、“绿色康养之乡”品牌，大幅提升品牌知名度和产品影响力，力争2025年，打造6个以上在绿色食品、文化旅游、绿色能源、养老养生、中药材种植加工领域的全国知名品牌。形成一批在省内有影响力、具有较强创新能力和竞争力的健康服务企业，建成几个重点健康养生园区，建设一批各具特色的健康旅游基地，形成一批健康特色品牌，推广一批具有彝医药特点的健康养生发展模式和典型经验。初步构建起具有元谋特色、满足群众基本需求的健康养生产业体系。</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3"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rPr>
        <w:t xml:space="preserve">——基地建设目标  </w:t>
      </w:r>
      <w:r>
        <w:rPr>
          <w:rFonts w:hint="default" w:ascii="Times New Roman" w:hAnsi="Times New Roman" w:eastAsia="仿宋_GB2312" w:cs="Times New Roman"/>
          <w:kern w:val="21"/>
          <w:sz w:val="32"/>
          <w:szCs w:val="32"/>
        </w:rPr>
        <w:t>立足气候、文化旅游和新能源资源优势，大力培育形成绿色蔬菜、特色林果、育繁制种等农业产业体系和农产品加工园区，力争到2025年建成全国重要的高原特色现代农业产业基地。不断完善旅游基础设施，加快发展特色农庄、红色旅游和养生养老产业；积极推进建设一批带动示范效应强的绿色能源项目，打造一批具有较强经济创新能力的绿色能源龙头企业，构建光伏、风电、生物质能等较为完整的产业体系，建成全国知名的文化旅游养生养老基地和全省重要的绿色能源产业基地。</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3"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rPr>
        <w:t xml:space="preserve">——生物医药建设目标  </w:t>
      </w:r>
      <w:r>
        <w:rPr>
          <w:rFonts w:hint="default" w:ascii="Times New Roman" w:hAnsi="Times New Roman" w:eastAsia="仿宋_GB2312" w:cs="Times New Roman"/>
          <w:kern w:val="21"/>
          <w:sz w:val="32"/>
          <w:szCs w:val="32"/>
        </w:rPr>
        <w:t>强力推进产业招商，培育壮大市场主体。力争到2025年，引进、培育规模以上生物医药加工企业2户以上，中药材种植面积达1万亩。</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3"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rPr>
        <w:t xml:space="preserve">——市场建设目标  </w:t>
      </w:r>
      <w:r>
        <w:rPr>
          <w:rFonts w:hint="default" w:ascii="Times New Roman" w:hAnsi="Times New Roman" w:eastAsia="仿宋_GB2312" w:cs="Times New Roman"/>
          <w:kern w:val="21"/>
          <w:sz w:val="32"/>
          <w:szCs w:val="32"/>
        </w:rPr>
        <w:t>构建互联网、电子商务流通平台，完善产业发展链条。力争到2025年，建立集蔬菜水果种植、交易、信息、物流为一体的果蔬交易中心1个，“互联网+农业”交易平台1个，并与全国接轨；建立县域内蔬菜水果、绿色食品、中药材等交易平台，实现“互联网+农业、互联网+食品、互联网+医疗”等“互联网+、绿色+、康养+”平台建设覆盖10个乡镇。形成完善的实体销售与网络销售体系。</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3"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rPr>
        <w:t xml:space="preserve">——养老体系建设目标  </w:t>
      </w:r>
      <w:r>
        <w:rPr>
          <w:rFonts w:hint="default" w:ascii="Times New Roman" w:hAnsi="Times New Roman" w:eastAsia="仿宋_GB2312" w:cs="Times New Roman"/>
          <w:kern w:val="21"/>
          <w:sz w:val="32"/>
          <w:szCs w:val="32"/>
        </w:rPr>
        <w:t>积极应对人口老龄化，构建以居家养老和公立养老机构养老为主体、社会资本养老为补充的多层次养老服务体系，力争到2025年，公办养老机构覆盖10乡镇，养老体系建设日益完善，建成“住、行、医、养”等硬件设施环境优化的老年宜居环境，公办养老机构实现“互联网+养老”的智慧健康养老服务全覆盖。引进规范化、规模化的民营养老机构3家以上，建成医养结合养老机构3家以上。</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3"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rPr>
        <w:t xml:space="preserve">——医疗体系建设目标 </w:t>
      </w:r>
      <w:r>
        <w:rPr>
          <w:rFonts w:hint="default" w:ascii="Times New Roman" w:hAnsi="Times New Roman" w:eastAsia="仿宋_GB2312" w:cs="Times New Roman"/>
          <w:b/>
          <w:bCs/>
          <w:kern w:val="21"/>
        </w:rPr>
        <w:t xml:space="preserve"> </w:t>
      </w:r>
      <w:r>
        <w:rPr>
          <w:rFonts w:hint="default" w:ascii="Times New Roman" w:hAnsi="Times New Roman" w:eastAsia="仿宋_GB2312" w:cs="Times New Roman"/>
          <w:kern w:val="21"/>
          <w:sz w:val="32"/>
          <w:szCs w:val="32"/>
        </w:rPr>
        <w:t>夯实县、乡、村三级医疗服务体系建设，巩固全国中医药先进单位和等级医院创建成果，推进基层急救能力、传染病防治、公共卫生、中（彝）医服务能力提升，以及医联体、医共体等建设工作，完成县中医医院（彝医医院）搬迁工作，挖掘中（彝）医药治未病、养生保健、食疗药膳等传统组方，吸引社会资本参与健康养老养生工程建设。力争到2025年，全县三级医疗体系基础设施和服务能力明显提升，分布实施“互联网+医疗”智慧医疗服务，建立规范的急救中心、胸痛中心、中（彝）医养老养生中心各1个，各类卫生健康项目指标达全州中上水平；全县达到三级乙等以上医疗机构1所以上，二级医院100%达到二级甲等建设标准，一级医院80%以上达到云南省甲级建设标准；三级医疗服务体系更加规范化、标准化、智能化，完成县医院分院建设，建立规范的传染病救治中心、消毒供应中心、影像中心、健康管理中心、中（彝）医康复护理中心等服务机构，各类卫生健康项目指标达全州先进水平。</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3"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rPr>
        <w:t xml:space="preserve">——人才培养目标  </w:t>
      </w:r>
      <w:r>
        <w:rPr>
          <w:rFonts w:hint="default" w:ascii="Times New Roman" w:hAnsi="Times New Roman" w:eastAsia="仿宋_GB2312" w:cs="Times New Roman"/>
          <w:kern w:val="21"/>
          <w:sz w:val="32"/>
          <w:szCs w:val="32"/>
        </w:rPr>
        <w:t>以外派交流学习、发掘当地乡土人才、举办培训班、人才引进等形式，培养农业科技人才、健康运营管理人才、旅游营销人才、绿色食品加工人才、中药材原料生产人才、流通交易人才、制药专业人才、养生保健人才、老年康复护理人才、中（彝）医医疗卫生人才。力争到2025年，培养骨干专业技术人才200人。</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jc w:val="center"/>
        <w:textAlignment w:val="baseline"/>
        <w:rPr>
          <w:rFonts w:hint="default" w:ascii="Times New Roman" w:hAnsi="Times New Roman" w:eastAsia="方正黑体简体" w:cs="Times New Roman"/>
          <w:kern w:val="21"/>
          <w:sz w:val="32"/>
          <w:szCs w:val="32"/>
        </w:rPr>
      </w:pPr>
      <w:r>
        <w:rPr>
          <w:rFonts w:hint="default" w:ascii="Times New Roman" w:hAnsi="Times New Roman" w:eastAsia="方正黑体简体" w:cs="Times New Roman"/>
          <w:kern w:val="21"/>
          <w:sz w:val="32"/>
          <w:szCs w:val="32"/>
        </w:rPr>
        <w:t>第四节 空间布局</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rPr>
        <w:t>按照产业集聚、错位协同、均衡发展的原则，依托区位、交通和环境资源优势，强化核心引领、带状集聚、多点支撑，整体构筑“三片引领四带集聚”的健康产业发展格局，辐射带动全县健康产业发展。</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黑体" w:cs="Times New Roman"/>
          <w:kern w:val="21"/>
          <w:sz w:val="32"/>
          <w:szCs w:val="32"/>
          <w:shd w:val="clear" w:color="auto" w:fill="FFFFFF"/>
        </w:rPr>
      </w:pPr>
      <w:r>
        <w:rPr>
          <w:rFonts w:hint="default" w:ascii="Times New Roman" w:hAnsi="Times New Roman" w:eastAsia="黑体" w:cs="Times New Roman"/>
          <w:kern w:val="21"/>
          <w:sz w:val="32"/>
          <w:szCs w:val="32"/>
          <w:shd w:val="clear" w:color="auto" w:fill="FFFFFF"/>
        </w:rPr>
        <w:t>一、三片引领</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（一）“东方人类故乡”：</w:t>
      </w:r>
      <w:r>
        <w:rPr>
          <w:rFonts w:hint="default" w:ascii="Times New Roman" w:hAnsi="Times New Roman" w:eastAsia="仿宋_GB2312" w:cs="Times New Roman"/>
          <w:kern w:val="21"/>
          <w:sz w:val="32"/>
          <w:szCs w:val="32"/>
        </w:rPr>
        <w:t>依托境内最早的人类“元谋猿人”发现地，丰富的古生物、古人类、古文化遗迹，以及侏罗纪恐龙化石、400万年前的元谋腊玛古猿化石、170万年前的“元谋人”化石和石器时代的大量遗址、遗物和遗存，建设元谋人世界公园和东方古人类文化科考科普研究中心，打造“东方人类故乡”。</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（二）“冬早蔬菜之乡”：</w:t>
      </w:r>
      <w:r>
        <w:rPr>
          <w:rFonts w:hint="default" w:ascii="Times New Roman" w:hAnsi="Times New Roman" w:eastAsia="仿宋_GB2312" w:cs="Times New Roman"/>
          <w:kern w:val="21"/>
          <w:sz w:val="32"/>
          <w:szCs w:val="32"/>
        </w:rPr>
        <w:t>大力发展以冬早蔬菜和热带特色水果为主的高原特色现代农业，利用“全国首批农产品质量安全县、楚雄国家农业科技园区核心区、南菜北运基地、中国特色农产品优势区”等知名品牌效益，做好“元谋蔬菜”“元谋水果”两个产业，扩大无公害农产品、绿色食品、出口蔬菜认定和达标种植示范面积，让果蔬产业为全县最为重要的富民产业，打造“冬早蔬菜之乡”。</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（三）“绿色康养之乡”：</w:t>
      </w:r>
      <w:r>
        <w:rPr>
          <w:rFonts w:hint="default" w:ascii="Times New Roman" w:hAnsi="Times New Roman" w:eastAsia="仿宋_GB2312" w:cs="Times New Roman"/>
          <w:kern w:val="21"/>
          <w:sz w:val="32"/>
          <w:szCs w:val="32"/>
        </w:rPr>
        <w:t>依托暖冬优势和便捷的交通区位，冬季平均气温保持在20-22℃，无雾霾，交通便捷。通过文化旅游绿色康养产业发展，实现游客从“旅途”到“旅游”到“旅居”的不断升级。结合市场需求，大力开发康养地产、旅游地产，发展候鸟式旅居，重点打造凤凰湖公园康养带、“元谋人”远古小镇康养带、元马古镇康养带、金沙湖旅游度假区，打造“绿色康养之乡”。</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黑体" w:cs="Times New Roman"/>
          <w:kern w:val="21"/>
          <w:sz w:val="32"/>
          <w:szCs w:val="32"/>
        </w:rPr>
      </w:pPr>
      <w:r>
        <w:rPr>
          <w:rFonts w:hint="default" w:ascii="Times New Roman" w:hAnsi="Times New Roman" w:eastAsia="黑体" w:cs="Times New Roman"/>
          <w:kern w:val="21"/>
          <w:sz w:val="32"/>
          <w:szCs w:val="32"/>
        </w:rPr>
        <w:t>二、四带集聚</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（一）绿色农业、绿色能源产业带：</w:t>
      </w:r>
      <w:r>
        <w:rPr>
          <w:rFonts w:hint="default" w:ascii="Times New Roman" w:hAnsi="Times New Roman" w:eastAsia="仿宋_GB2312" w:cs="Times New Roman"/>
          <w:kern w:val="21"/>
          <w:sz w:val="32"/>
          <w:szCs w:val="32"/>
        </w:rPr>
        <w:t>以做大做强中国南方种业园为基础，在元马镇、黄瓜园镇、老城乡、物茂乡、平田乡五个坝区大力发展以冬早蔬菜和热带特色水果为主的高原特色现代农业，规划建设冬早蔬菜产业园、热带水果科技园、热带花卉产业园。结合交通区域优势，利用亚热带季风气候，光热资源充足，坝区基本无霜，发展风能、太阳能、生物质能等新能源，着力打造以现代农业、有机农业、观光农业、采摘农业、绿色食品、绿色能源为重点的绿色农业、绿色能源产业集聚带。</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（二）文化旅游产业带：</w:t>
      </w:r>
      <w:r>
        <w:rPr>
          <w:rFonts w:hint="default" w:ascii="Times New Roman" w:hAnsi="Times New Roman" w:eastAsia="仿宋_GB2312" w:cs="Times New Roman"/>
          <w:kern w:val="21"/>
          <w:sz w:val="32"/>
          <w:szCs w:val="32"/>
        </w:rPr>
        <w:t>紧扣省委打造世界一流“健康生活目的地”的决策部署，依托元谋厚重的历史文化资源、得天独厚的暖冬气候和优质安全的绿色果蔬优势，围绕“吃住行游购娱康体休”旅游九大要素，着力打造以元谋人世界公园、元马古镇金马坊、凤凰湖公园、凤仪公园、浪巴铺土林、物茂土林、元谋县金沙湖康养旅游度假区为重点的文化旅游产业集聚带。</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（三）健康养老养生产业带：</w:t>
      </w:r>
      <w:r>
        <w:rPr>
          <w:rFonts w:hint="default" w:ascii="Times New Roman" w:hAnsi="Times New Roman" w:eastAsia="仿宋_GB2312" w:cs="Times New Roman"/>
          <w:kern w:val="21"/>
          <w:sz w:val="32"/>
          <w:szCs w:val="32"/>
        </w:rPr>
        <w:t>依托暖冬优势和便捷的交通区位，冬季平均气温保持在20-22℃，无雾霾，特有“八度禀赋”（温度、纬度、高度、洁净度、湿度、优产度、便利度、潜力度）的优越条件和舒适的人居环境，大力开发康养地产、旅游地产，发展候鸟式旅居，着力打造以凤凰湖公园、“元谋人”远古小镇、元马古镇、金沙湖健康养老养生地产，羊街镇和凉山乡森林康养为重点的健康养老养生产业集聚带。</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shd w:val="clear" w:color="auto" w:fill="FFFFFF"/>
        </w:rPr>
        <w:t>（四）生物医药和中草药种植产业带：</w:t>
      </w:r>
      <w:r>
        <w:rPr>
          <w:rFonts w:hint="default" w:ascii="Times New Roman" w:hAnsi="Times New Roman" w:eastAsia="仿宋_GB2312" w:cs="Times New Roman"/>
          <w:kern w:val="21"/>
          <w:sz w:val="32"/>
          <w:szCs w:val="32"/>
        </w:rPr>
        <w:t>加大招商引资力度，引入具有一定规模的中药配方颗粒、中药饮片加工、老年康复医疗器械、消毒供应等生物医药加工企业入驻工业园区，利用第四次中药资源普查成果，争取实施定制药园计划，建设中（彝）医药研发中心和中草药种苗繁殖基地，着力打造以形成中草药种植加工、药食同源、消毒供应、养老医疗器械生产为重点的生物医药和中草药种植产业集聚带。</w:t>
      </w:r>
    </w:p>
    <w:p>
      <w:pPr>
        <w:keepNext w:val="0"/>
        <w:keepLines w:val="0"/>
        <w:pageBreakBefore w:val="0"/>
        <w:widowControl w:val="0"/>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jc w:val="center"/>
        <w:textAlignment w:val="baseline"/>
        <w:rPr>
          <w:rFonts w:hint="default" w:ascii="Times New Roman" w:hAnsi="Times New Roman" w:eastAsia="方正小标宋简体" w:cs="Times New Roman"/>
          <w:kern w:val="21"/>
          <w:sz w:val="44"/>
          <w:szCs w:val="44"/>
        </w:rPr>
      </w:pPr>
    </w:p>
    <w:p>
      <w:pPr>
        <w:keepNext w:val="0"/>
        <w:keepLines w:val="0"/>
        <w:pageBreakBefore w:val="0"/>
        <w:widowControl w:val="0"/>
        <w:numPr>
          <w:ilvl w:val="0"/>
          <w:numId w:val="6"/>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jc w:val="center"/>
        <w:textAlignment w:val="baseline"/>
        <w:rPr>
          <w:rFonts w:hint="default" w:ascii="Times New Roman" w:hAnsi="Times New Roman" w:eastAsia="方正小标宋简体" w:cs="Times New Roman"/>
          <w:kern w:val="21"/>
          <w:sz w:val="44"/>
          <w:szCs w:val="44"/>
        </w:rPr>
      </w:pPr>
      <w:r>
        <w:rPr>
          <w:rFonts w:hint="default" w:ascii="Times New Roman" w:hAnsi="Times New Roman" w:eastAsia="方正小标宋简体" w:cs="Times New Roman"/>
          <w:kern w:val="21"/>
          <w:sz w:val="44"/>
          <w:szCs w:val="44"/>
        </w:rPr>
        <w:t xml:space="preserve">  主要任务</w:t>
      </w:r>
    </w:p>
    <w:p>
      <w:pPr>
        <w:keepNext w:val="0"/>
        <w:keepLines w:val="0"/>
        <w:pageBreakBefore w:val="0"/>
        <w:widowControl w:val="0"/>
        <w:numPr>
          <w:ilvl w:val="0"/>
          <w:numId w:val="7"/>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jc w:val="center"/>
        <w:textAlignment w:val="baseline"/>
        <w:rPr>
          <w:rFonts w:hint="default" w:ascii="Times New Roman" w:hAnsi="Times New Roman" w:eastAsia="方正黑体简体" w:cs="Times New Roman"/>
          <w:kern w:val="21"/>
          <w:sz w:val="32"/>
          <w:szCs w:val="32"/>
          <w:shd w:val="clear" w:color="auto" w:fill="FFFFFF"/>
        </w:rPr>
      </w:pPr>
      <w:r>
        <w:rPr>
          <w:rFonts w:hint="eastAsia" w:ascii="Times New Roman" w:hAnsi="Times New Roman" w:eastAsia="方正黑体简体" w:cs="Times New Roman"/>
          <w:kern w:val="21"/>
          <w:sz w:val="32"/>
          <w:szCs w:val="32"/>
          <w:shd w:val="clear" w:color="auto" w:fill="FFFFFF"/>
          <w:lang w:val="en-US" w:eastAsia="zh-CN"/>
        </w:rPr>
        <w:t xml:space="preserve"> </w:t>
      </w:r>
      <w:r>
        <w:rPr>
          <w:rFonts w:hint="default" w:ascii="Times New Roman" w:hAnsi="Times New Roman" w:eastAsia="方正黑体简体" w:cs="Times New Roman"/>
          <w:kern w:val="21"/>
          <w:sz w:val="32"/>
          <w:szCs w:val="32"/>
          <w:shd w:val="clear" w:color="auto" w:fill="FFFFFF"/>
        </w:rPr>
        <w:t>主导产业培育</w:t>
      </w:r>
    </w:p>
    <w:p>
      <w:pPr>
        <w:keepNext w:val="0"/>
        <w:keepLines w:val="0"/>
        <w:pageBreakBefore w:val="0"/>
        <w:widowControl w:val="0"/>
        <w:numPr>
          <w:ilvl w:val="0"/>
          <w:numId w:val="8"/>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jc w:val="both"/>
        <w:textAlignment w:val="baseline"/>
        <w:rPr>
          <w:rFonts w:hint="default" w:ascii="Times New Roman" w:hAnsi="Times New Roman" w:eastAsia="黑体" w:cs="Times New Roman"/>
          <w:kern w:val="21"/>
          <w:sz w:val="32"/>
          <w:szCs w:val="32"/>
        </w:rPr>
      </w:pPr>
      <w:r>
        <w:rPr>
          <w:rFonts w:hint="default" w:ascii="Times New Roman" w:hAnsi="Times New Roman" w:eastAsia="黑体" w:cs="Times New Roman"/>
          <w:kern w:val="21"/>
          <w:sz w:val="32"/>
          <w:szCs w:val="32"/>
        </w:rPr>
        <w:t>加快推进配套体系建设，夯实健康产业发展基础</w:t>
      </w:r>
    </w:p>
    <w:p>
      <w:pPr>
        <w:keepNext w:val="0"/>
        <w:keepLines w:val="0"/>
        <w:pageBreakBefore w:val="0"/>
        <w:widowControl w:val="0"/>
        <w:numPr>
          <w:ilvl w:val="0"/>
          <w:numId w:val="9"/>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jc w:val="both"/>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加快医疗、生物医药、农业、体育、旅游、养老等基础设施建设。</w:t>
      </w:r>
      <w:r>
        <w:rPr>
          <w:rFonts w:hint="default" w:ascii="Times New Roman" w:hAnsi="Times New Roman" w:eastAsia="仿宋_GB2312" w:cs="Times New Roman"/>
          <w:kern w:val="21"/>
          <w:sz w:val="32"/>
          <w:szCs w:val="32"/>
        </w:rPr>
        <w:t>按照打造世界一流“健康生活目的地”的战略部署，以元谋县五大园、和创国家卫生县城及省级全域旅游示范区为契机，积极向上争取资金，加快医疗、医药、农业、体育、旅游、养老基础设施的建设和改善，提升人居环境和投资环境，助推健康养生产业发展。</w:t>
      </w:r>
    </w:p>
    <w:p>
      <w:pPr>
        <w:keepNext w:val="0"/>
        <w:keepLines w:val="0"/>
        <w:pageBreakBefore w:val="0"/>
        <w:widowControl w:val="0"/>
        <w:numPr>
          <w:ilvl w:val="0"/>
          <w:numId w:val="9"/>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left="0" w:leftChars="0" w:firstLine="640" w:firstLineChars="200"/>
        <w:jc w:val="both"/>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建立大健康统计规范体系。</w:t>
      </w:r>
      <w:r>
        <w:rPr>
          <w:rFonts w:hint="default" w:ascii="Times New Roman" w:hAnsi="Times New Roman" w:eastAsia="仿宋_GB2312" w:cs="Times New Roman"/>
          <w:kern w:val="21"/>
          <w:sz w:val="32"/>
          <w:szCs w:val="32"/>
        </w:rPr>
        <w:t>统计部门要进一步加强统筹协调，建立健全健康产业统计指标体系和统计监测办法。按照产业发展需要，建立完善产业统计指标体系，将产业涵盖的绿色产业、文化旅游服务业、养生养老、休闲健康服务业、科研服务机构、护理服务机构、精神康复服务、体育业等纳入统计，进一步建立完善统计报表报送制度，做到依法统计、应统尽统。</w:t>
      </w:r>
    </w:p>
    <w:p>
      <w:pPr>
        <w:keepNext w:val="0"/>
        <w:keepLines w:val="0"/>
        <w:pageBreakBefore w:val="0"/>
        <w:widowControl w:val="0"/>
        <w:numPr>
          <w:ilvl w:val="0"/>
          <w:numId w:val="9"/>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left="0" w:leftChars="0" w:firstLine="640" w:firstLineChars="200"/>
        <w:jc w:val="both"/>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加强中彝药研发平台建设。</w:t>
      </w:r>
      <w:r>
        <w:rPr>
          <w:rFonts w:hint="default" w:ascii="Times New Roman" w:hAnsi="Times New Roman" w:eastAsia="仿宋_GB2312" w:cs="Times New Roman"/>
          <w:kern w:val="21"/>
          <w:sz w:val="32"/>
          <w:szCs w:val="32"/>
        </w:rPr>
        <w:t>以元谋县中医医院（元谋县彝医医院）为依托，整合全县优质中彝医药资源，实施互联网+中彝医馆建设运营，建立以中彝医电子病历、电子处方等为重点的基础数据库，运用中医智能辅助诊疗系统开展线上线下一体化服务和远程医疗服务，让特色中彝医药资源服务更多患者，推动中彝医药产业转型升级。</w:t>
      </w:r>
    </w:p>
    <w:p>
      <w:pPr>
        <w:keepNext w:val="0"/>
        <w:keepLines w:val="0"/>
        <w:pageBreakBefore w:val="0"/>
        <w:widowControl w:val="0"/>
        <w:numPr>
          <w:ilvl w:val="0"/>
          <w:numId w:val="9"/>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left="0" w:leftChars="0" w:firstLine="640" w:firstLineChars="200"/>
        <w:jc w:val="both"/>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推进信息化与健康产业融合发展。</w:t>
      </w:r>
      <w:r>
        <w:rPr>
          <w:rFonts w:hint="default" w:ascii="Times New Roman" w:hAnsi="Times New Roman" w:eastAsia="仿宋_GB2312" w:cs="Times New Roman"/>
          <w:kern w:val="21"/>
          <w:sz w:val="32"/>
          <w:szCs w:val="32"/>
        </w:rPr>
        <w:t>充分利用大数据、云计算等信息技术，建成全县区域卫生健康数据平台，逐步实现智慧农业、智慧养老、智慧旅游、智慧医保，智慧医疗，全面提升养老养生、医疗、公共卫生、计划生育、分级诊疗、家庭医生签约服务及人员培训信息化水平，探索人口健康大数据开发应用、依托省级人口健康云平台，构建全县大健康大数据中心，实现全县生物医药和大健康产业大数据的汇集。力争2025年，建立县域内蔬菜水果、绿色食品、中药材等交易平台，实现“互联网+农业、互联网+食品、互联网+医疗”等“互联网+、绿色+、康养+”平台建设覆盖10个乡镇，形成完善的实体销售与网络销售体系。</w:t>
      </w:r>
    </w:p>
    <w:p>
      <w:pPr>
        <w:keepNext w:val="0"/>
        <w:keepLines w:val="0"/>
        <w:pageBreakBefore w:val="0"/>
        <w:widowControl w:val="0"/>
        <w:numPr>
          <w:ilvl w:val="0"/>
          <w:numId w:val="8"/>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left="0" w:leftChars="0" w:firstLine="640" w:firstLineChars="200"/>
        <w:jc w:val="both"/>
        <w:textAlignment w:val="baseline"/>
        <w:rPr>
          <w:rFonts w:hint="default" w:ascii="Times New Roman" w:hAnsi="Times New Roman" w:eastAsia="黑体" w:cs="Times New Roman"/>
          <w:kern w:val="21"/>
          <w:sz w:val="32"/>
          <w:szCs w:val="32"/>
        </w:rPr>
      </w:pPr>
      <w:r>
        <w:rPr>
          <w:rFonts w:hint="default" w:ascii="Times New Roman" w:hAnsi="Times New Roman" w:eastAsia="黑体" w:cs="Times New Roman"/>
          <w:kern w:val="21"/>
          <w:sz w:val="32"/>
          <w:szCs w:val="32"/>
        </w:rPr>
        <w:t>加快推进医疗健康服务培育行动，构建大健康服务保障体系</w:t>
      </w:r>
    </w:p>
    <w:p>
      <w:pPr>
        <w:keepNext w:val="0"/>
        <w:keepLines w:val="0"/>
        <w:pageBreakBefore w:val="0"/>
        <w:widowControl w:val="0"/>
        <w:numPr>
          <w:ilvl w:val="0"/>
          <w:numId w:val="0"/>
        </w:numPr>
        <w:pBdr>
          <w:top w:val="single" w:color="FFFFFF" w:sz="4" w:space="0"/>
          <w:left w:val="single" w:color="FFFFFF" w:sz="4" w:space="0"/>
          <w:bottom w:val="single" w:color="FFFFFF" w:sz="4" w:space="15"/>
          <w:right w:val="single" w:color="FFFFFF" w:sz="4" w:space="10"/>
        </w:pBdr>
        <w:kinsoku/>
        <w:wordWrap/>
        <w:overflowPunct/>
        <w:topLinePunct w:val="0"/>
        <w:autoSpaceDE w:val="0"/>
        <w:autoSpaceDN/>
        <w:bidi w:val="0"/>
        <w:adjustRightInd/>
        <w:spacing w:line="560" w:lineRule="exact"/>
        <w:ind w:firstLine="640" w:firstLineChars="200"/>
        <w:jc w:val="both"/>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（一）加快医疗服务体系创新发展。</w:t>
      </w:r>
      <w:r>
        <w:rPr>
          <w:rFonts w:hint="default" w:ascii="Times New Roman" w:hAnsi="Times New Roman" w:eastAsia="仿宋_GB2312" w:cs="Times New Roman"/>
          <w:kern w:val="21"/>
          <w:sz w:val="32"/>
          <w:szCs w:val="32"/>
        </w:rPr>
        <w:t>夯实县、乡、村三级医疗服务体系建设，巩固全国中医药先进单位和等级医院创建成果，推进基层急救能力、传染病防治、公共卫生、中（彝）医服务能力提升，以及医联体、医共体等建设工作，完成县中医医院（彝医医院）搬迁工作，挖掘中（彝）医药治未病、养生保健、食疗药膳等传统组方，吸引社会资本参与医疗服务体系建设。力争2025年，全县达到三级乙等以上综合医疗机构1所以上，二级综合医院100%达到二级甲等建设标准，一级医院70%以上达到云南省甲级建设标准；建立省、州、县紧密型医联体2个，县乡紧密型医共体1个，三级医疗服务体系更加规范化、标准化、智能化。完成县医院分院建设，强化现代新技术的临床应用，建成规范的传染病救治中心、消毒供应中心、影像中心、健康管理中心、中（彝）医康复护理中心等服务机构，二级以上民营医疗机构2家。每千人口拥有卫生技术人员和床位数分别为8.8人、7.5张，各类卫生健康项目指标达全州领先水平。</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（二）推动智慧医疗发展。</w:t>
      </w:r>
      <w:r>
        <w:rPr>
          <w:rFonts w:hint="default" w:ascii="Times New Roman" w:hAnsi="Times New Roman" w:eastAsia="仿宋_GB2312" w:cs="Times New Roman"/>
          <w:kern w:val="21"/>
          <w:sz w:val="32"/>
          <w:szCs w:val="32"/>
        </w:rPr>
        <w:t>加大医疗机构信息化建设的资金投入，整合现有的信息化资源，结合“互联网+医疗”的思维,广泛采取和应用的三大技术为物联网、大数据和云计算，以居民健康为中心,以医疗卫生业务为主线,重点建设“三中心-平台-系统”,逐步形成家庭健康管理、社区医疗服和智慧医院三级递进,区域资源、数据、专家和服务全面集成与共享,覆盖如预约挂号、药品供应保障、住院病人管理、公共卫生、个人健康管理、健康教育、线上诊疗等多个方面。力争到2025年，县、乡、村医疗机构信息化建设基本达标；智慧医疗发展格局基本形成，移动医疗、可穿戴设备、自我诊断、大数据分析等相关产业服务初具规模。</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（三）积极拓展预防保健服务。</w:t>
      </w:r>
      <w:r>
        <w:rPr>
          <w:rFonts w:hint="default" w:ascii="Times New Roman" w:hAnsi="Times New Roman" w:eastAsia="仿宋_GB2312" w:cs="Times New Roman"/>
          <w:kern w:val="21"/>
          <w:sz w:val="32"/>
          <w:szCs w:val="32"/>
        </w:rPr>
        <w:t>以预防医疗服务为核心，加快完善预防保健产业链条，推动疾病治疗向健康促进转变。加强县级疾控中心服务能力建设，发展基于基因检测的早期筛查与诊断，支持开展个性化预防和治疗服务。加强区域公共卫生服务资源整合，鼓励组建综合性公共卫生服务中心。加强公共卫生大数据分析应用，提高监测、预测、预警、处置疫情和突发公共卫生事件的能力。进一步健全妇幼健康服务体系，加强妇幼保健机构标准化建设，引进优质妇幼保健医疗资源，增加优质产院产房资源供给。落实母婴安全行动计划和健康儿童行动计划，深入推进出生缺陷三级预防，实现免费产前筛查和新生儿筛查全覆盖。积极开展高龄孕产妇、再生育人群的服务和指导。</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（四）加快发展多元化健康管理服务。</w:t>
      </w:r>
      <w:r>
        <w:rPr>
          <w:rFonts w:hint="default" w:ascii="Times New Roman" w:hAnsi="Times New Roman" w:eastAsia="仿宋_GB2312" w:cs="Times New Roman"/>
          <w:kern w:val="21"/>
          <w:sz w:val="32"/>
          <w:szCs w:val="32"/>
        </w:rPr>
        <w:t>积极引进省内外知名专业健康管理机构和品牌，鼓励公立医院与社会资本合作开展健康管理服务。发展以商业保险机制为支撑，以健康风险管理为核心的健康管理新型组织，积极开展健康筛选咨询、未病管理与治疗等形式多样的健康管理服务。支持社会资本发展健康体检、专业护理、心理健康、母婴照料和残疾人护理等专业健康服务机构。大力发展健康市场调查、咨询、管理等第三方服务机构。力争到2025年，培养2家以上健康管理企业（机构）。</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（五）深入推进家庭医生签约服务。</w:t>
      </w:r>
      <w:r>
        <w:rPr>
          <w:rFonts w:hint="default" w:ascii="Times New Roman" w:hAnsi="Times New Roman" w:eastAsia="仿宋_GB2312" w:cs="Times New Roman"/>
          <w:kern w:val="21"/>
          <w:sz w:val="32"/>
          <w:szCs w:val="32"/>
        </w:rPr>
        <w:t>进一步拓展和深化家庭医生签约服务，将基本医疗、基本公共卫生和健康管理有机整合，为签约对象提供综合、连续的基本医疗卫生服务。结合各乡镇实际，创新服务模式，丰富签约服务内涵，拓展个体化健康管理、社区医疗和双向转诊，促进家庭签约服务智慧化。力争到2025年，实现家庭医生签约服务制度全覆盖；家庭医生签约服务管理率达80%以上。</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黑体" w:cs="Times New Roman"/>
          <w:kern w:val="21"/>
          <w:sz w:val="32"/>
          <w:szCs w:val="32"/>
        </w:rPr>
      </w:pPr>
      <w:r>
        <w:rPr>
          <w:rFonts w:hint="default" w:ascii="Times New Roman" w:hAnsi="Times New Roman" w:eastAsia="黑体" w:cs="Times New Roman"/>
          <w:kern w:val="21"/>
          <w:sz w:val="32"/>
          <w:szCs w:val="32"/>
        </w:rPr>
        <w:t>三、加快推进中（彝）医药培育行动，挖掘中(彝)医药的特色优势</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（一）完善中（彝）医药体系，传承弘扬中（彝）医药文化。</w:t>
      </w:r>
      <w:r>
        <w:rPr>
          <w:rFonts w:hint="default" w:ascii="Times New Roman" w:hAnsi="Times New Roman" w:eastAsia="仿宋_GB2312" w:cs="Times New Roman"/>
          <w:kern w:val="21"/>
          <w:sz w:val="32"/>
          <w:szCs w:val="32"/>
        </w:rPr>
        <w:t>持续完善中彝族医药临床、科研、教学、标准、药材种植和中（彝）医药文化相互配套的彝医药体系。加强以元谋县中（彝）医医院为龙头的县、乡、村（彝）医药服务体系建设，进行彝药材质量标准体系建设，对县域内的彝族药材标准品种进行筛选论证，力争1-2个品种纳入县级标准。依托《云南省楚雄彝族自治县彝医药条例》在全县范围内开展医师资格考试考核认定。通过文化传播、产品宣传、学术交流为手段，充分利用广播、电视、报刊、杂志、网络等媒体资源宣传弘扬中</w:t>
      </w:r>
      <w:r>
        <w:rPr>
          <w:rFonts w:hint="default" w:ascii="Times New Roman" w:hAnsi="Times New Roman" w:eastAsia="仿宋_GB2312" w:cs="Times New Roman"/>
          <w:spacing w:val="0"/>
          <w:w w:val="96"/>
          <w:kern w:val="21"/>
          <w:sz w:val="32"/>
          <w:szCs w:val="32"/>
        </w:rPr>
        <w:t>（彝）医药文化，继续加强推进中（彝）医药“六进”活动的开展。</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（二）夯实基层中（彝）医药人才队伍。</w:t>
      </w:r>
      <w:r>
        <w:rPr>
          <w:rFonts w:hint="default" w:ascii="Times New Roman" w:hAnsi="Times New Roman" w:eastAsia="仿宋_GB2312" w:cs="Times New Roman"/>
          <w:kern w:val="21"/>
          <w:sz w:val="32"/>
          <w:szCs w:val="32"/>
        </w:rPr>
        <w:t>继续推进基层中（彝）医药服务能力提升“1155”工程，夯实乡村医生中（彝）医药服务的基本知识与技能。强化以全科医生为重点的基层中（彝）医药人才队伍建设。力争到2025年，全县乡镇卫生院和社区卫生服务中心中医（含彝医）类别医师占本机构医师总数比例达到30%以上，村卫生室和社区卫生服务站至少有1名中医类别医师或能够提供中（彝）医药服务的能西会中医生；开展6种以上中（彝）医适宜技术，实现150名彝医药人才培养目标。</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（三）加快发展现代中药。</w:t>
      </w:r>
      <w:r>
        <w:rPr>
          <w:rFonts w:hint="default" w:ascii="Times New Roman" w:hAnsi="Times New Roman" w:eastAsia="仿宋_GB2312" w:cs="Times New Roman"/>
          <w:kern w:val="21"/>
          <w:sz w:val="32"/>
          <w:szCs w:val="32"/>
        </w:rPr>
        <w:t>支持中药科技创新，加快形成自主知识产权，促进创新成果知识产权化、商品化和产业化。加强重大疑难疾病、慢性病等中医药防治和新药研发。推进实施中药标准化行动计划，重点开发中药药效及安全性评价、质量综合评价、现代分离纯化、中药饮片（提取物）加工炮制与质量控制等技术，研制一批疗效确切、安全性高、有效成分明确、作用机理清晰的中药产品。发挥中医药在养生保健产业中的作用，加快开发中药保健品、功能食品、药酒、药妆等养生保健产品。</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（四）提升中医医疗保健服务水平，建设一批彝药养生保健康复休闲基地。</w:t>
      </w:r>
      <w:r>
        <w:rPr>
          <w:rFonts w:hint="default" w:ascii="Times New Roman" w:hAnsi="Times New Roman" w:eastAsia="仿宋_GB2312" w:cs="Times New Roman"/>
          <w:kern w:val="21"/>
          <w:sz w:val="32"/>
          <w:szCs w:val="32"/>
        </w:rPr>
        <w:t>充分利用我县中医药特色优势，发挥中医药在治未病中的主导作用、在重大疾病治疗中的协同作用、在疾病康复中的核心作用。积极推进中医医院及有条件的乡镇卫生院、妇幼保健机构治未病科室建设。加强中（彝）医药综合服务区（国医堂、中医馆）建设。支持社会力量举办中医医疗机构、中医药博物馆、中医经络按摩馆、太极运动馆、养生馆、药膳馆，开展中医特色治疗、康复理疗、针灸推拿、药膳、情志养生等服务项目。加快中医治未病技术体系与产业体系建设，促进中医药与健康养老、治未病、旅游文化等融合发展，建立一批药膳、药浴、拔罐、刮痧、熏蒸、推拿等具有明显疗效的康体养生保健服务项目，鼓励具有资质的中医人员和民间中医在旅游景区开展康体养生保健服务，打造一批中医健康养生基地。力争到2025年，创建1个省内外有较高知名度和影响力的健康休闲养生基地。</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26" w:firstLineChars="200"/>
        <w:textAlignment w:val="baseline"/>
        <w:rPr>
          <w:rFonts w:hint="default" w:ascii="Times New Roman" w:hAnsi="Times New Roman" w:eastAsia="黑体" w:cs="Times New Roman"/>
          <w:w w:val="98"/>
          <w:kern w:val="21"/>
          <w:sz w:val="32"/>
          <w:szCs w:val="32"/>
        </w:rPr>
      </w:pPr>
      <w:r>
        <w:rPr>
          <w:rFonts w:hint="default" w:ascii="Times New Roman" w:hAnsi="Times New Roman" w:eastAsia="黑体" w:cs="Times New Roman"/>
          <w:w w:val="98"/>
          <w:kern w:val="21"/>
          <w:sz w:val="32"/>
          <w:szCs w:val="32"/>
        </w:rPr>
        <w:t>四、加快推进健康养老养生培育行动，积极应对人口老龄化</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（一）推进医疗机构与养生养老康复保健机构合作发展。</w:t>
      </w:r>
      <w:r>
        <w:rPr>
          <w:rFonts w:hint="default" w:ascii="Times New Roman" w:hAnsi="Times New Roman" w:eastAsia="仿宋_GB2312" w:cs="Times New Roman"/>
          <w:kern w:val="21"/>
          <w:sz w:val="32"/>
          <w:szCs w:val="32"/>
        </w:rPr>
        <w:t>创建全州医养结合示范县，加快建立以居家为基础、社区为依托、机构为补充、医养相结合、覆盖全体老年人的健康养老服务体系。深入推进机构医养结合，支持公立中医医院与县民政、县残联、社会资本联合举办以中医养生保健为主的护理院、养老院、疗养院等养老机构。建立健全医疗卫生机构和养老机构合作机制，开通预约就诊绿色通道，加快推进医疗养老联合体建设。加强县人民医院和县中医医院老年病科建设，加快发展康复专科医院、健康养老相关产业。力争到2025年，二级医疗机构设置老年医学科比列达80%，护理型养老床位占养老床位总数的45%以上，老年人健康管理率达85%。</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（二）开展社区居家健康养老服务。</w:t>
      </w:r>
      <w:r>
        <w:rPr>
          <w:rFonts w:hint="default" w:ascii="Times New Roman" w:hAnsi="Times New Roman" w:eastAsia="仿宋_GB2312" w:cs="Times New Roman"/>
          <w:kern w:val="21"/>
          <w:sz w:val="32"/>
          <w:szCs w:val="32"/>
        </w:rPr>
        <w:t>完善社区医养服务设施，推进与卫生、助残等公共服务设施统筹布局、互补共享，在社区养老服务机构配备护理人员、康复护理设施设备和器材，引导老年人日间照料中心、老年人活动中心、托老所等社区养老机构与周边医疗机构“嵌入式”发展或签订合作协议。加强以农村特困人员供养服务机构为重点的农村养老服务设施建设，按照区域优化、布局合理原则，充分利用乡镇敬老院等现有资源，新（改、扩）建一批农村综合性社会福利服务机构。力争到2025年，城镇社区养老服务设施覆盖率达到80%；农村社区养老服务设施覆盖率达到70%。</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（三）丰富养老服务产业</w:t>
      </w:r>
      <w:r>
        <w:rPr>
          <w:rFonts w:hint="default" w:ascii="Times New Roman" w:hAnsi="Times New Roman" w:eastAsia="仿宋_GB2312" w:cs="Times New Roman"/>
          <w:kern w:val="21"/>
          <w:sz w:val="32"/>
          <w:szCs w:val="32"/>
        </w:rPr>
        <w:t>。大力发展养老服务企业，鼓励连锁化经营、集团化发展，实施品牌战略，培育一批各具特色、管理规范、服务标准的龙头企业，加快形成产业链长、覆盖领域广、经济社会效益显著的养老服务产业集群。支持养老服务产业与健康、养生、旅游、文化、健身、温泉、休闲等产业融合发展，丰富养老服务产业新模式、新业态。鼓励金融、互联网等企业进入养老服务产业，适度发展健康地产，建设健康养老综合体。大力发展智慧养老服务，开展健康养老大数据的深度挖掘与应用，创新发展慢性病管理、居家健康养老、个性化健康管理、互联网健康咨询、生活照护等健康养老服务模式。力争到2025年，创建省级智慧健康养老示范基地1个、智慧健康养老示范社区5个、智慧健康养老示范企业1家。</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（四）加快适老化建设改造。</w:t>
      </w:r>
      <w:r>
        <w:rPr>
          <w:rFonts w:hint="default" w:ascii="Times New Roman" w:hAnsi="Times New Roman" w:eastAsia="仿宋_GB2312" w:cs="Times New Roman"/>
          <w:kern w:val="21"/>
          <w:sz w:val="32"/>
          <w:szCs w:val="32"/>
        </w:rPr>
        <w:t>推进居住区和公共服务区的适老化设施建设，实施老年人家庭适老化改造，开展既有多层住宅加装电梯试点工作，加大已建居住小区公共场所、城市道路和涉老设施场所无障碍化改造力度。完善涉老设施建设标准，落实城乡各类公共设施、老年设施和建筑工程的建设标准、生态标准、技术标准。加强适老化技术标准的实施与监督。力争到2025年，新建城市道路、社区公共场所和涉老设施场所无障碍化率达到100%；新建城市道路、社区公共场所和涉老设施场所无障碍化率达到100%。</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26" w:firstLineChars="200"/>
        <w:textAlignment w:val="baseline"/>
        <w:rPr>
          <w:rFonts w:hint="default" w:ascii="Times New Roman" w:hAnsi="Times New Roman" w:eastAsia="黑体" w:cs="Times New Roman"/>
          <w:w w:val="98"/>
          <w:kern w:val="21"/>
          <w:sz w:val="32"/>
          <w:szCs w:val="32"/>
        </w:rPr>
      </w:pPr>
      <w:r>
        <w:rPr>
          <w:rFonts w:hint="default" w:ascii="Times New Roman" w:hAnsi="Times New Roman" w:eastAsia="黑体" w:cs="Times New Roman"/>
          <w:w w:val="98"/>
          <w:kern w:val="21"/>
          <w:sz w:val="32"/>
          <w:szCs w:val="32"/>
        </w:rPr>
        <w:t>五、加快推进体育健身培育行动，构建健康运动产业生态圈</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rPr>
        <w:t>深入推进全民健身与全民健康深度融合，大力开发具有消费引领性的健康运动项目，积极推广覆盖全生命周期的运动健康服务，依托暖冬、土林、龙川江、金沙湖等资源，重点发展球类、路跑、游泳、骑行、露营、探险、汽摩、垂钓、游艇等户外运动健康休闲产业。大力培育健身休闲、竞赛表演、场馆服务、体育中介、体育培训与教育、体育传媒等体育服务业，打造一批优秀体育俱乐部、协会等体育社会组织，构建健康运动产业生态圈。力争到2025年，引进培养2家以上体育康复企业，每年承办2次以上重大体育赛事。</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jc w:val="center"/>
        <w:textAlignment w:val="baseline"/>
        <w:rPr>
          <w:rFonts w:hint="default" w:ascii="Times New Roman" w:hAnsi="Times New Roman" w:eastAsia="方正黑体简体" w:cs="Times New Roman"/>
          <w:kern w:val="21"/>
          <w:sz w:val="32"/>
          <w:szCs w:val="32"/>
        </w:rPr>
      </w:pPr>
      <w:r>
        <w:rPr>
          <w:rFonts w:hint="default" w:ascii="Times New Roman" w:hAnsi="Times New Roman" w:eastAsia="方正黑体简体" w:cs="Times New Roman"/>
          <w:kern w:val="21"/>
          <w:sz w:val="32"/>
          <w:szCs w:val="32"/>
        </w:rPr>
        <w:t>第二节  支撑平台搭建</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rPr>
        <w:t xml:space="preserve">平台建设是支撑我县健康养生产业发展的重要基石，通过政府、企业或互联网建立新的组织方式将分散资源进行优化配置，通过各种平台的支撑衔接健康养生产业的主要任务才能得以实现。 </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黑体" w:cs="Times New Roman"/>
          <w:kern w:val="21"/>
          <w:sz w:val="32"/>
          <w:szCs w:val="32"/>
        </w:rPr>
      </w:pPr>
      <w:r>
        <w:rPr>
          <w:rFonts w:hint="default" w:ascii="Times New Roman" w:hAnsi="Times New Roman" w:eastAsia="黑体" w:cs="Times New Roman"/>
          <w:kern w:val="21"/>
          <w:sz w:val="32"/>
          <w:szCs w:val="32"/>
        </w:rPr>
        <w:t xml:space="preserve">一、人才管理支撑平台 </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（一）医疗人才多点执业管理平台。</w:t>
      </w:r>
      <w:r>
        <w:rPr>
          <w:rFonts w:hint="default" w:ascii="Times New Roman" w:hAnsi="Times New Roman" w:eastAsia="仿宋_GB2312" w:cs="Times New Roman"/>
          <w:kern w:val="21"/>
          <w:sz w:val="32"/>
          <w:szCs w:val="32"/>
        </w:rPr>
        <w:t>以医联体建设为契机，建立医疗人才多点执业管理平台，推行医师执业网上注册和多点执业备案管理，探索“统一注册，全区域通用”的区域注册制度，统一调配医师在不同类型、不同层级的医疗机构之间流动。探索开展医师多点执业涉及的人事管理、收入分配、社会保险等工作进行统一平台管理。鼓励医师到基层、边远山区、医疗资源稀缺地区和养老机构多点执业，医务人员在学术地位、职称晋升、专业技术和继续教育等方面不因多点执业受影响。</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（二）公共人才管理平台。</w:t>
      </w:r>
      <w:r>
        <w:rPr>
          <w:rFonts w:hint="default" w:ascii="Times New Roman" w:hAnsi="Times New Roman" w:eastAsia="仿宋_GB2312" w:cs="Times New Roman"/>
          <w:kern w:val="21"/>
          <w:sz w:val="32"/>
          <w:szCs w:val="32"/>
        </w:rPr>
        <w:t>积极探索区域统一的营养师、康复医师、康复治疗师、社会工作者等健康服务专业技术人员保障管理平台，对相关从业者身份、待遇、社会保障、继续教育、执业资格和注册考核等进行统一管理，可以相对解除从业者的后顾之忧，从而根据需要、根据特长自由流动到不同机构岗位。在养老机构和社区开发公益性岗位，吸纳农村转移劳动力、城镇就业困难人员等从事养老服务。在养老机构就业的专业技术人员执行与医疗机构、福利机构相同的薪资晋升政策。</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（三）人才培养平台。</w:t>
      </w:r>
      <w:r>
        <w:rPr>
          <w:rFonts w:hint="default" w:ascii="Times New Roman" w:hAnsi="Times New Roman" w:eastAsia="仿宋_GB2312" w:cs="Times New Roman"/>
          <w:kern w:val="21"/>
          <w:sz w:val="32"/>
          <w:szCs w:val="32"/>
        </w:rPr>
        <w:t>规范并加快培养护士、养老护理员、药剂师、营养师、育婴师、按摩师、康复治疗师、健康管理师、健身教练、社会体育指导员等从业人员。探索机构和相关营养协会开展营养培训合作。对参加相关职业培训和职业技能鉴定的人员，符合条件的按规定给予补贴。建立健全健康养生产业从业人员继续教育制度。把发展健康养生产业与落实各项就业创业扶持政策紧密结合起来，充分发挥健康养生产业吸纳就业的作用。适当出台健康养生产业企业高管人员和核心技术人才，在户籍和就医等方面享受优惠和便利，子女在义务教育阶段入学可在市内居住地辖区择校就读等倾斜性人才政策，吸引优秀人才走进元谋，留在元谋。</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黑体" w:cs="Times New Roman"/>
          <w:kern w:val="21"/>
          <w:sz w:val="32"/>
          <w:szCs w:val="32"/>
        </w:rPr>
      </w:pPr>
      <w:r>
        <w:rPr>
          <w:rFonts w:hint="default" w:ascii="Times New Roman" w:hAnsi="Times New Roman" w:eastAsia="黑体" w:cs="Times New Roman"/>
          <w:kern w:val="21"/>
          <w:sz w:val="32"/>
          <w:szCs w:val="32"/>
        </w:rPr>
        <w:t>二、数字信息支撑平台</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（一）“互联网+养老”。</w:t>
      </w:r>
      <w:r>
        <w:rPr>
          <w:rFonts w:hint="default" w:ascii="Times New Roman" w:hAnsi="Times New Roman" w:eastAsia="仿宋_GB2312" w:cs="Times New Roman"/>
          <w:kern w:val="21"/>
          <w:sz w:val="32"/>
          <w:szCs w:val="32"/>
        </w:rPr>
        <w:t>积极参与云南省民政厅推动的“智慧养老信息化工程”，建立智慧养老管理平台，开通社区居家养老服务接入受理、服务对象和服务机构评估、服务资源的管理服务和政府购买服务支付清算等功能，实现轻松便捷、安全高效、全方位、泛接入的“养老美团”。推进智慧养老管理平台与区域卫生信息平台的对接，共享老年人基本档案、健康档案、需求评估等信息，推进医养结合信息平台数据标准化和互联互通，实现跨部门、区域的业务协同和信息共享。</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（二）“互联网+医疗服务”。</w:t>
      </w:r>
      <w:r>
        <w:rPr>
          <w:rFonts w:hint="default" w:ascii="Times New Roman" w:hAnsi="Times New Roman" w:eastAsia="仿宋_GB2312" w:cs="Times New Roman"/>
          <w:kern w:val="21"/>
          <w:sz w:val="32"/>
          <w:szCs w:val="32"/>
        </w:rPr>
        <w:t>依托医联体建设的基础，以大数据、信息化为支撑，搭建集公共卫生、计划生育、医疗服务、医疗保障、药品供应、综合管理等业务为一体的“医疗健康管理平台”，加强人口、电子健康档案和电子病历三大基础数据库建设，实现跨机构、跨部门、跨地区的医学影像、健康档案、检验报告、电子病历等医疗信息的互通和资源共享，逐步建立医疗数据共享交换标准体系。</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（三）“互联网+食品安全”。</w:t>
      </w:r>
      <w:r>
        <w:rPr>
          <w:rFonts w:hint="default" w:ascii="Times New Roman" w:hAnsi="Times New Roman" w:eastAsia="仿宋_GB2312" w:cs="Times New Roman"/>
          <w:kern w:val="21"/>
          <w:sz w:val="32"/>
          <w:szCs w:val="32"/>
        </w:rPr>
        <w:t>以“一部手机云品荟”为载体，利用互联网大数据、二维码等物联网信息技术，建立健全可追溯农产品的销售终端和物流配送体系，搭建统一的可追溯农业数据平台。相关部门和各个食品企业应该加大食品安全重要性的宣传，提高社会大众的食品安全意识，推广应用云南省区块链溯源“孔雀码”，通过各种媒体倡导大众购买有追溯有保障的食物，同时鼓励消费者积极参与食品来源的监督。利用自贸区政策引入国际有权威的第三方检验认证机构，参与出口食品安</w:t>
      </w:r>
      <w:r>
        <w:rPr>
          <w:rFonts w:hint="default" w:ascii="Times New Roman" w:hAnsi="Times New Roman" w:eastAsia="仿宋_GB2312" w:cs="Times New Roman"/>
          <w:w w:val="95"/>
          <w:kern w:val="21"/>
          <w:sz w:val="32"/>
          <w:szCs w:val="32"/>
        </w:rPr>
        <w:t>全检验并贴标，逐步实现食品国际认可，从而顺利打入国际市场。</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楷体_GB2312" w:cs="Times New Roman"/>
          <w:kern w:val="21"/>
          <w:sz w:val="32"/>
          <w:szCs w:val="32"/>
        </w:rPr>
        <w:t>（四）“互联网+健身休闲”。</w:t>
      </w:r>
      <w:r>
        <w:rPr>
          <w:rFonts w:hint="default" w:ascii="Times New Roman" w:hAnsi="Times New Roman" w:eastAsia="仿宋_GB2312" w:cs="Times New Roman"/>
          <w:kern w:val="21"/>
          <w:sz w:val="32"/>
          <w:szCs w:val="32"/>
        </w:rPr>
        <w:t>鼓励开发以移动互联网、大数据、云计算技术为支撑，以健康管理类可穿戴设备、便携式健康监测设备、自助式健康检测设备、智能健康监护设备、健康服务机器人等为载体的健身休闲服务，推进健身休闲产业与电子信息产业深度融合，建立场馆预定、体质监测、健身指导、运动分析、赛事参与、在线咨询服务等综合服务平台。探索“互联网+体育”发展新路径，鼓励、扶持体育生活云平台和体育电商交易平台建设，充分利用“一部手机游云南”平台促进健身休闲产业发展。</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jc w:val="center"/>
        <w:textAlignment w:val="baseline"/>
        <w:rPr>
          <w:rFonts w:hint="default" w:ascii="Times New Roman" w:hAnsi="Times New Roman" w:eastAsia="方正小标宋简体" w:cs="Times New Roman"/>
          <w:kern w:val="21"/>
          <w:sz w:val="44"/>
          <w:szCs w:val="44"/>
        </w:rPr>
      </w:pP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jc w:val="center"/>
        <w:textAlignment w:val="baseline"/>
        <w:rPr>
          <w:rFonts w:hint="default" w:ascii="Times New Roman" w:hAnsi="Times New Roman" w:eastAsia="方正小标宋简体" w:cs="Times New Roman"/>
          <w:sz w:val="44"/>
          <w:szCs w:val="44"/>
        </w:rPr>
      </w:pPr>
      <w:r>
        <w:rPr>
          <w:rFonts w:hint="default" w:ascii="Times New Roman" w:hAnsi="Times New Roman" w:eastAsia="方正小标宋简体" w:cs="Times New Roman"/>
          <w:kern w:val="21"/>
          <w:sz w:val="44"/>
          <w:szCs w:val="44"/>
        </w:rPr>
        <w:t>第四章   保障措施</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jc w:val="center"/>
        <w:textAlignment w:val="baseline"/>
        <w:rPr>
          <w:rFonts w:hint="default" w:ascii="Times New Roman" w:hAnsi="Times New Roman" w:eastAsia="方正黑体简体" w:cs="Times New Roman"/>
          <w:kern w:val="21"/>
          <w:sz w:val="32"/>
          <w:szCs w:val="32"/>
        </w:rPr>
      </w:pPr>
      <w:r>
        <w:rPr>
          <w:rFonts w:hint="default" w:ascii="Times New Roman" w:hAnsi="Times New Roman" w:eastAsia="方正黑体简体" w:cs="Times New Roman"/>
          <w:kern w:val="21"/>
          <w:sz w:val="32"/>
          <w:szCs w:val="32"/>
        </w:rPr>
        <w:t>第一节  加强组织领导</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方正仿宋简体" w:cs="Times New Roman"/>
          <w:sz w:val="32"/>
          <w:szCs w:val="32"/>
        </w:rPr>
        <w:t>县政府领导挂帅，建立和完善元谋县健康养生产业工作推进机制，压实工作职责，定期召开会议，分析产业发展情况，研究产业政策，部署推进工作，协调解决重点企业发展和重大项目建设关键问题</w:t>
      </w:r>
      <w:r>
        <w:rPr>
          <w:rFonts w:hint="default" w:ascii="Times New Roman" w:hAnsi="Times New Roman" w:eastAsia="仿宋_GB2312" w:cs="Times New Roman"/>
          <w:kern w:val="21"/>
          <w:sz w:val="32"/>
          <w:szCs w:val="32"/>
        </w:rPr>
        <w:t xml:space="preserve">对重大问题做出决策，统一领导产业建设和发展。逐步形成政府统一领导、部门齐抓共管、社会广泛参与的工作机制。强化政府在规划实施中的社会管理和公共服务职能，落实政府在政策制定、制度完善、机制创新、市场协调等方面的责任，为推进元谋县健康养生产业发展提供组织保障。 </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jc w:val="center"/>
        <w:textAlignment w:val="baseline"/>
        <w:rPr>
          <w:rFonts w:hint="default" w:ascii="Times New Roman" w:hAnsi="Times New Roman" w:eastAsia="方正黑体简体" w:cs="Times New Roman"/>
          <w:kern w:val="21"/>
          <w:sz w:val="32"/>
          <w:szCs w:val="32"/>
        </w:rPr>
      </w:pPr>
      <w:r>
        <w:rPr>
          <w:rFonts w:hint="default" w:ascii="Times New Roman" w:hAnsi="Times New Roman" w:eastAsia="方正黑体简体" w:cs="Times New Roman"/>
          <w:kern w:val="21"/>
          <w:sz w:val="32"/>
          <w:szCs w:val="32"/>
        </w:rPr>
        <w:t>第二节  深化“放管服”改革</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sz w:val="32"/>
          <w:szCs w:val="32"/>
        </w:rPr>
        <w:t>切实依法落实好国家和省</w:t>
      </w:r>
      <w:r>
        <w:rPr>
          <w:rFonts w:hint="default" w:ascii="Times New Roman" w:hAnsi="Times New Roman" w:eastAsia="仿宋_GB2312" w:cs="Times New Roman"/>
          <w:kern w:val="21"/>
          <w:sz w:val="32"/>
          <w:szCs w:val="32"/>
        </w:rPr>
        <w:t>、</w:t>
      </w:r>
      <w:r>
        <w:rPr>
          <w:rFonts w:hint="default" w:ascii="Times New Roman" w:hAnsi="Times New Roman" w:eastAsia="仿宋_GB2312" w:cs="Times New Roman"/>
          <w:sz w:val="32"/>
          <w:szCs w:val="32"/>
        </w:rPr>
        <w:t>州关于健康养生产业发展的支持政策，结合实际制定出台具体落实方案。建立公开、透明、平等、规范的健康养生产业准入制度，凡是法律法规没有明令禁入的领域，都要向社会资本开放；凡是对本地资本开放的领域，都要向外地资本开放。民办非营利性机构享受与同行业公办机构同等待遇。要进一步规范医疗机构设立的基本标准和审批程序，严控审批时限，下放审批权限，及时发布机构设置和规划布局调整等信息</w:t>
      </w:r>
      <w:r>
        <w:rPr>
          <w:rFonts w:hint="default" w:ascii="Times New Roman" w:hAnsi="Times New Roman" w:eastAsia="仿宋_GB2312" w:cs="Times New Roman"/>
          <w:kern w:val="21"/>
          <w:sz w:val="32"/>
          <w:szCs w:val="32"/>
        </w:rPr>
        <w:t>。简化对康复医院、老年病医院、儿童医院、护理院等紧缺型医疗机构的立项、开办、执业资格和医保定点等审批手续。</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jc w:val="center"/>
        <w:textAlignment w:val="baseline"/>
        <w:rPr>
          <w:rFonts w:hint="default" w:ascii="Times New Roman" w:hAnsi="Times New Roman" w:eastAsia="方正黑体简体" w:cs="Times New Roman"/>
          <w:kern w:val="21"/>
          <w:sz w:val="32"/>
          <w:szCs w:val="32"/>
        </w:rPr>
      </w:pPr>
      <w:r>
        <w:rPr>
          <w:rFonts w:hint="default" w:ascii="Times New Roman" w:hAnsi="Times New Roman" w:eastAsia="方正黑体简体" w:cs="Times New Roman"/>
          <w:kern w:val="21"/>
          <w:sz w:val="32"/>
          <w:szCs w:val="32"/>
        </w:rPr>
        <w:t>第三节   强化资金项目扶持</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方正黑体简体" w:cs="Times New Roman"/>
          <w:kern w:val="21"/>
          <w:sz w:val="32"/>
          <w:szCs w:val="32"/>
        </w:rPr>
      </w:pPr>
      <w:r>
        <w:rPr>
          <w:rFonts w:hint="default" w:ascii="Times New Roman" w:hAnsi="Times New Roman" w:eastAsia="仿宋_GB2312" w:cs="Times New Roman"/>
          <w:kern w:val="21"/>
          <w:sz w:val="32"/>
          <w:szCs w:val="32"/>
        </w:rPr>
        <w:t>各级各部门专项资金要按照工作责任把健康养生产业列为支持重点，创新财政资金使用方式，引导和鼓励融资性担保机构等支持健康养生产业发展，可以采取创业引导基金、产业投资基金、事中事后贴息、先建后补、以奖代补、风险补偿等方式，重点支持健康养生产业集群以及企业基础设施、重大项目建设和产品开发。完善政府投资补助政策，通过公办民营、民办公助等方式，支持社会资本举办非营利性健康服务机构。建立健全政府购买社会服务机制，由政府负责保障的健康服务类公共产品可通过购买服务的方式提供，同时逐步增加政府采购的类别和数量。争取将50%以上的社会福利事业彩票公益金用</w:t>
      </w:r>
      <w:r>
        <w:rPr>
          <w:rFonts w:hint="default" w:ascii="Times New Roman" w:hAnsi="Times New Roman" w:eastAsia="仿宋_GB2312" w:cs="Times New Roman"/>
          <w:w w:val="95"/>
          <w:kern w:val="21"/>
          <w:sz w:val="32"/>
          <w:szCs w:val="32"/>
        </w:rPr>
        <w:t>于支持发展养老服务业，并随老年人口的增加逐步提高投入比例。</w:t>
      </w:r>
    </w:p>
    <w:p>
      <w:pPr>
        <w:keepNext w:val="0"/>
        <w:keepLines w:val="0"/>
        <w:pageBreakBefore w:val="0"/>
        <w:widowControl w:val="0"/>
        <w:numPr>
          <w:ilvl w:val="0"/>
          <w:numId w:val="10"/>
        </w:numPr>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jc w:val="center"/>
        <w:textAlignment w:val="baseline"/>
        <w:rPr>
          <w:rFonts w:hint="default" w:ascii="Times New Roman" w:hAnsi="Times New Roman" w:eastAsia="方正黑体简体" w:cs="Times New Roman"/>
          <w:kern w:val="21"/>
          <w:sz w:val="32"/>
          <w:szCs w:val="32"/>
        </w:rPr>
      </w:pPr>
      <w:r>
        <w:rPr>
          <w:rFonts w:hint="default" w:ascii="Times New Roman" w:hAnsi="Times New Roman" w:eastAsia="方正黑体简体" w:cs="Times New Roman"/>
          <w:kern w:val="21"/>
          <w:sz w:val="32"/>
          <w:szCs w:val="32"/>
        </w:rPr>
        <w:t xml:space="preserve"> 加强用地保障</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rPr>
        <w:t>做好健康养生产业发展与土地利用总体规划、城乡规划的联动协调，对列入健康养生产业发展规划的重大项目优先安排土地指标，并优先在城乡规划中落实用地布局。可将闲置的公益性用地调整为医疗养老服务用地。民间资本举办的非营利性养老机构与政府举办的养老机构享有相同的土地使用政策，可以依法使用国有划拨土地或者农民集体所有的土地。对营利性康养机构建设用地，按照国家对经营性用地依法办理有偿用地手续的规定，优先保障供应，并制定支持发展健康养生产业的土地政策。加强用地论证，跟踪监督企业用地行为，严禁养老设施建设用地改变用途、容积率等土地使用条件搞房地产开发，阻止和避免盲目圈地。优先使用存量建设用地发展体育产业，确需使用新增建设用地的，所需年度新增建设用地计划给予优先保障。鼓励各地探索利用集体建设用地、符合条件的“四荒”（荒山、荒沟、荒丘、荒滩）土地发展体育产业。</w:t>
      </w:r>
    </w:p>
    <w:p>
      <w:pPr>
        <w:keepNext w:val="0"/>
        <w:keepLines w:val="0"/>
        <w:pageBreakBefore w:val="0"/>
        <w:widowControl w:val="0"/>
        <w:numPr>
          <w:ilvl w:val="0"/>
          <w:numId w:val="10"/>
        </w:numPr>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jc w:val="center"/>
        <w:textAlignment w:val="baseline"/>
        <w:rPr>
          <w:rFonts w:hint="default" w:ascii="Times New Roman" w:hAnsi="Times New Roman" w:eastAsia="方正黑体简体" w:cs="Times New Roman"/>
          <w:kern w:val="21"/>
          <w:sz w:val="32"/>
          <w:szCs w:val="32"/>
        </w:rPr>
      </w:pPr>
      <w:r>
        <w:rPr>
          <w:rFonts w:hint="default" w:ascii="Times New Roman" w:hAnsi="Times New Roman" w:eastAsia="方正黑体简体" w:cs="Times New Roman"/>
          <w:kern w:val="21"/>
          <w:sz w:val="32"/>
          <w:szCs w:val="32"/>
        </w:rPr>
        <w:t xml:space="preserve"> 落实税收价格优惠</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黑体" w:cs="Times New Roman"/>
          <w:kern w:val="21"/>
          <w:sz w:val="32"/>
          <w:szCs w:val="32"/>
        </w:rPr>
      </w:pPr>
      <w:r>
        <w:rPr>
          <w:rFonts w:hint="default" w:ascii="Times New Roman" w:hAnsi="Times New Roman" w:eastAsia="仿宋_GB2312" w:cs="Times New Roman"/>
          <w:sz w:val="32"/>
          <w:szCs w:val="32"/>
        </w:rPr>
        <w:t>进一步落实健康养生产业企业享受相关税收优惠，对养老机构提供的养护服务免征增值税，对非营利性养老机构自用房产、土地免征房产税、城镇土地使用税，对符合条件的非营利性养老机构按规定免征企业所得税。</w:t>
      </w:r>
      <w:r>
        <w:rPr>
          <w:rFonts w:hint="default" w:ascii="Times New Roman" w:hAnsi="Times New Roman" w:eastAsia="仿宋_GB2312" w:cs="Times New Roman"/>
          <w:kern w:val="21"/>
          <w:sz w:val="32"/>
          <w:szCs w:val="32"/>
        </w:rPr>
        <w:t>对符合政策规定的其他健康养生产业市场主体，可享受减免增值税、企业所得税税前扣除、免征个人所得税、小微企业普惠性税收减免等税费政策；对符合条件的体育场馆自用房产和土地，按规定享受有关房产税和城镇土地使用税优惠。对企事业单位、社会团体和个人等社会力量，通过非营利性的社会团体和政府部门向福利性、非营利性的老年服务机构的捐赠，在缴纳企业所得税和个人所得税前准予全额扣除。非公立医疗机构用水、用气与公立医疗机构同价，健康养生产业机构提供服务的用水、用气、生活用电按居民生活类价格执行。支持执行一般工商业电价的体育场馆依照我省电力市场化交易年度实施方案有关规定参与市场化交易，降低用电成本。全面清理涉及健康养生产业的收费项目，取消不合法、不合理收费。</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jc w:val="center"/>
        <w:textAlignment w:val="baseline"/>
        <w:rPr>
          <w:rFonts w:hint="default" w:ascii="Times New Roman" w:hAnsi="Times New Roman" w:eastAsia="方正黑体简体" w:cs="Times New Roman"/>
          <w:kern w:val="21"/>
          <w:sz w:val="32"/>
          <w:szCs w:val="32"/>
        </w:rPr>
      </w:pPr>
      <w:r>
        <w:rPr>
          <w:rFonts w:hint="default" w:ascii="Times New Roman" w:hAnsi="Times New Roman" w:eastAsia="方正黑体简体" w:cs="Times New Roman"/>
          <w:kern w:val="21"/>
          <w:sz w:val="32"/>
          <w:szCs w:val="32"/>
        </w:rPr>
        <w:t>第六节 完善监督考核制度</w:t>
      </w:r>
    </w:p>
    <w:p>
      <w:pPr>
        <w:keepNext w:val="0"/>
        <w:keepLines w:val="0"/>
        <w:pageBreakBefore w:val="0"/>
        <w:widowControl w:val="0"/>
        <w:pBdr>
          <w:top w:val="single" w:color="FFFFFF" w:sz="4" w:space="0"/>
          <w:left w:val="single" w:color="FFFFFF" w:sz="4" w:space="0"/>
          <w:bottom w:val="single" w:color="FFFFFF" w:sz="4" w:space="30"/>
          <w:right w:val="single" w:color="FFFFFF" w:sz="4" w:space="31"/>
        </w:pBdr>
        <w:kinsoku/>
        <w:wordWrap/>
        <w:overflowPunct/>
        <w:topLinePunct w:val="0"/>
        <w:autoSpaceDE w:val="0"/>
        <w:autoSpaceDN/>
        <w:bidi w:val="0"/>
        <w:adjustRightInd/>
        <w:spacing w:line="560" w:lineRule="exact"/>
        <w:ind w:firstLine="640" w:firstLineChars="200"/>
        <w:textAlignment w:val="baseline"/>
        <w:rPr>
          <w:rFonts w:hint="default" w:ascii="Times New Roman" w:hAnsi="Times New Roman" w:eastAsia="仿宋_GB2312" w:cs="Times New Roman"/>
          <w:kern w:val="21"/>
          <w:sz w:val="32"/>
          <w:szCs w:val="32"/>
        </w:rPr>
      </w:pPr>
      <w:r>
        <w:rPr>
          <w:rFonts w:hint="default" w:ascii="Times New Roman" w:hAnsi="Times New Roman" w:eastAsia="方正仿宋简体" w:cs="Times New Roman"/>
          <w:sz w:val="32"/>
          <w:szCs w:val="32"/>
        </w:rPr>
        <w:t>加强监督考核。</w:t>
      </w:r>
      <w:r>
        <w:rPr>
          <w:rFonts w:hint="default" w:ascii="Times New Roman" w:hAnsi="Times New Roman" w:eastAsia="仿宋_GB2312" w:cs="Times New Roman"/>
          <w:kern w:val="21"/>
          <w:sz w:val="32"/>
          <w:szCs w:val="32"/>
        </w:rPr>
        <w:t>对规划实施所涉及的单位及责任领导进行量化考核，根据健康养生产业的评价指标体系，将产业结构调整、用地红线、资源利用与节约、环境治理、生态保护纳入地方各级政府绩效考核范围。对领导干部实行自然资源资产离任审计，建立生态破坏和环境污染责任终身追究制度和目标责任制，为健康养生产业发展提供保障。对产业发展工作推进不利、所负责项目推进工作进展较慢的单位及责任人将采取通报批评、诫勉谈话、组织调整等多种方式进行问责；对成效突出、所负责项目进展较快的单位和责任人将采取宣传表扬、物质奖励、优先提拔重用等多种方式进行鼓励。建立健康养生产业重大项目库并实施动态管理，将条件成熟的项目上报省州重</w:t>
      </w:r>
      <w:r>
        <w:rPr>
          <w:rFonts w:hint="default" w:ascii="Times New Roman" w:hAnsi="Times New Roman" w:eastAsia="仿宋_GB2312" w:cs="Times New Roman"/>
          <w:spacing w:val="-6"/>
          <w:kern w:val="21"/>
          <w:sz w:val="32"/>
          <w:szCs w:val="32"/>
        </w:rPr>
        <w:t>点项目年度计划，在项目审批、要素保障等方面给予重点支持。</w:t>
      </w:r>
    </w:p>
    <w:p>
      <w:pPr>
        <w:pBdr>
          <w:top w:val="single" w:color="FFFFFF" w:sz="4" w:space="0"/>
          <w:left w:val="single" w:color="FFFFFF" w:sz="4" w:space="0"/>
          <w:bottom w:val="single" w:color="FFFFFF" w:sz="4" w:space="30"/>
          <w:right w:val="single" w:color="FFFFFF" w:sz="4" w:space="31"/>
        </w:pBdr>
        <w:autoSpaceDE w:val="0"/>
        <w:spacing w:line="560" w:lineRule="exact"/>
        <w:textAlignment w:val="baseline"/>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rPr>
        <w:t xml:space="preserve">                                  </w:t>
      </w:r>
    </w:p>
    <w:p>
      <w:pPr>
        <w:widowControl/>
        <w:jc w:val="left"/>
        <w:rPr>
          <w:rFonts w:hint="default" w:ascii="Times New Roman" w:hAnsi="Times New Roman" w:eastAsia="方正黑体简体" w:cs="Times New Roman"/>
          <w:sz w:val="32"/>
          <w:szCs w:val="32"/>
        </w:rPr>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pPr>
    </w:p>
    <w:p>
      <w:pPr>
        <w:spacing w:line="440" w:lineRule="exact"/>
        <w:jc w:val="left"/>
        <w:rPr>
          <w:rFonts w:hint="default" w:ascii="Times New Roman" w:hAnsi="Times New Roman" w:eastAsia="方正小标宋简体" w:cs="Times New Roman"/>
          <w:sz w:val="32"/>
          <w:szCs w:val="32"/>
        </w:rPr>
      </w:pPr>
      <w:r>
        <w:rPr>
          <w:rFonts w:hint="eastAsia" w:ascii="方正仿宋简体" w:hAnsi="方正仿宋简体" w:eastAsia="方正仿宋简体" w:cs="方正仿宋简体"/>
          <w:sz w:val="32"/>
          <w:szCs w:val="32"/>
        </w:rPr>
        <w:t>附件：</w:t>
      </w:r>
      <w:r>
        <w:rPr>
          <w:rFonts w:hint="default" w:ascii="Times New Roman" w:hAnsi="Times New Roman" w:eastAsia="黑体" w:cs="Times New Roman"/>
          <w:sz w:val="32"/>
          <w:szCs w:val="32"/>
        </w:rPr>
        <w:t xml:space="preserve">   </w:t>
      </w:r>
      <w:r>
        <w:rPr>
          <w:rFonts w:hint="default" w:ascii="Times New Roman" w:hAnsi="Times New Roman" w:eastAsia="方正小标宋简体" w:cs="Times New Roman"/>
          <w:sz w:val="32"/>
          <w:szCs w:val="32"/>
        </w:rPr>
        <w:t xml:space="preserve">    </w:t>
      </w:r>
    </w:p>
    <w:p>
      <w:pPr>
        <w:spacing w:line="44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 xml:space="preserve"> </w:t>
      </w:r>
    </w:p>
    <w:p>
      <w:pPr>
        <w:spacing w:line="44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元谋县“十四五”健康养生产业规划建设重点项目库</w:t>
      </w:r>
    </w:p>
    <w:p>
      <w:pPr>
        <w:pStyle w:val="13"/>
        <w:ind w:firstLine="210"/>
        <w:rPr>
          <w:rFonts w:hint="default" w:ascii="Times New Roman" w:hAnsi="Times New Roman" w:cs="Times New Roman"/>
          <w:sz w:val="32"/>
          <w:szCs w:val="32"/>
        </w:rPr>
      </w:pPr>
      <w:r>
        <w:rPr>
          <w:rFonts w:hint="default" w:ascii="Times New Roman" w:hAnsi="Times New Roman" w:cs="Times New Roman"/>
        </w:rPr>
        <w:t xml:space="preserve"> </w:t>
      </w:r>
    </w:p>
    <w:tbl>
      <w:tblPr>
        <w:tblStyle w:val="14"/>
        <w:tblW w:w="9684"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411"/>
        <w:gridCol w:w="660"/>
        <w:gridCol w:w="859"/>
        <w:gridCol w:w="898"/>
        <w:gridCol w:w="3647"/>
        <w:gridCol w:w="814"/>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5" w:type="dxa"/>
            <w:tcBorders>
              <w:top w:val="single" w:color="auto" w:sz="4" w:space="0"/>
              <w:left w:val="single" w:color="auto" w:sz="4" w:space="0"/>
              <w:bottom w:val="single" w:color="auto" w:sz="4" w:space="0"/>
              <w:right w:val="single" w:color="auto" w:sz="4" w:space="0"/>
            </w:tcBorders>
            <w:vAlign w:val="center"/>
          </w:tcPr>
          <w:p>
            <w:pPr>
              <w:pStyle w:val="33"/>
              <w:spacing w:line="240" w:lineRule="exact"/>
              <w:ind w:left="0" w:leftChars="0" w:firstLine="0"/>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序号</w:t>
            </w:r>
          </w:p>
        </w:tc>
        <w:tc>
          <w:tcPr>
            <w:tcW w:w="1411" w:type="dxa"/>
            <w:tcBorders>
              <w:top w:val="single" w:color="auto" w:sz="4" w:space="0"/>
              <w:left w:val="nil"/>
              <w:bottom w:val="single" w:color="auto" w:sz="4" w:space="0"/>
              <w:right w:val="single" w:color="auto" w:sz="4" w:space="0"/>
            </w:tcBorders>
            <w:vAlign w:val="center"/>
          </w:tcPr>
          <w:p>
            <w:pPr>
              <w:pStyle w:val="33"/>
              <w:spacing w:line="240" w:lineRule="exact"/>
              <w:ind w:left="0" w:leftChars="0" w:firstLine="0"/>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项目名称</w:t>
            </w:r>
          </w:p>
        </w:tc>
        <w:tc>
          <w:tcPr>
            <w:tcW w:w="660" w:type="dxa"/>
            <w:tcBorders>
              <w:top w:val="single" w:color="auto" w:sz="4" w:space="0"/>
              <w:left w:val="nil"/>
              <w:bottom w:val="single" w:color="auto" w:sz="4" w:space="0"/>
              <w:right w:val="single" w:color="auto" w:sz="4" w:space="0"/>
            </w:tcBorders>
            <w:vAlign w:val="center"/>
          </w:tcPr>
          <w:p>
            <w:pPr>
              <w:pStyle w:val="33"/>
              <w:spacing w:line="240" w:lineRule="exact"/>
              <w:ind w:left="0" w:leftChars="0" w:firstLine="0"/>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建设性质</w:t>
            </w:r>
          </w:p>
        </w:tc>
        <w:tc>
          <w:tcPr>
            <w:tcW w:w="859" w:type="dxa"/>
            <w:tcBorders>
              <w:top w:val="single" w:color="auto" w:sz="4" w:space="0"/>
              <w:left w:val="nil"/>
              <w:bottom w:val="single" w:color="auto" w:sz="4" w:space="0"/>
              <w:right w:val="single" w:color="auto" w:sz="4" w:space="0"/>
            </w:tcBorders>
            <w:vAlign w:val="center"/>
          </w:tcPr>
          <w:p>
            <w:pPr>
              <w:pStyle w:val="33"/>
              <w:spacing w:line="240" w:lineRule="exact"/>
              <w:ind w:left="0" w:leftChars="0" w:firstLine="0"/>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项目建设地点</w:t>
            </w:r>
          </w:p>
        </w:tc>
        <w:tc>
          <w:tcPr>
            <w:tcW w:w="898" w:type="dxa"/>
            <w:tcBorders>
              <w:top w:val="single" w:color="auto" w:sz="4" w:space="0"/>
              <w:left w:val="nil"/>
              <w:bottom w:val="single" w:color="auto" w:sz="4" w:space="0"/>
              <w:right w:val="single" w:color="auto" w:sz="4" w:space="0"/>
            </w:tcBorders>
            <w:vAlign w:val="center"/>
          </w:tcPr>
          <w:p>
            <w:pPr>
              <w:pStyle w:val="33"/>
              <w:spacing w:line="240" w:lineRule="exact"/>
              <w:ind w:left="0" w:leftChars="0" w:firstLine="0"/>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估算总投资</w:t>
            </w:r>
            <w:r>
              <w:rPr>
                <w:rFonts w:hint="eastAsia" w:ascii="Times New Roman" w:hAnsi="Times New Roman" w:eastAsia="方正仿宋简体" w:cs="Times New Roman"/>
                <w:sz w:val="18"/>
                <w:szCs w:val="18"/>
                <w:lang w:eastAsia="zh-CN"/>
              </w:rPr>
              <w:t>（亿元）</w:t>
            </w:r>
          </w:p>
        </w:tc>
        <w:tc>
          <w:tcPr>
            <w:tcW w:w="3647" w:type="dxa"/>
            <w:tcBorders>
              <w:top w:val="single" w:color="auto" w:sz="4" w:space="0"/>
              <w:left w:val="nil"/>
              <w:bottom w:val="single" w:color="auto" w:sz="4" w:space="0"/>
              <w:right w:val="single" w:color="auto" w:sz="4" w:space="0"/>
            </w:tcBorders>
            <w:vAlign w:val="center"/>
          </w:tcPr>
          <w:p>
            <w:pPr>
              <w:pStyle w:val="33"/>
              <w:spacing w:line="240" w:lineRule="exact"/>
              <w:ind w:left="0" w:leftChars="0" w:firstLine="0"/>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建设内容及规模</w:t>
            </w:r>
          </w:p>
        </w:tc>
        <w:tc>
          <w:tcPr>
            <w:tcW w:w="814" w:type="dxa"/>
            <w:tcBorders>
              <w:top w:val="single" w:color="auto" w:sz="4" w:space="0"/>
              <w:left w:val="nil"/>
              <w:bottom w:val="single" w:color="auto" w:sz="4" w:space="0"/>
              <w:right w:val="single" w:color="auto" w:sz="4" w:space="0"/>
            </w:tcBorders>
            <w:vAlign w:val="center"/>
          </w:tcPr>
          <w:p>
            <w:pPr>
              <w:pStyle w:val="33"/>
              <w:spacing w:line="240" w:lineRule="exact"/>
              <w:ind w:left="0" w:leftChars="0" w:firstLine="0"/>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项目计划建设年限</w:t>
            </w:r>
          </w:p>
        </w:tc>
        <w:tc>
          <w:tcPr>
            <w:tcW w:w="840" w:type="dxa"/>
            <w:tcBorders>
              <w:top w:val="single" w:color="auto" w:sz="4" w:space="0"/>
              <w:left w:val="nil"/>
              <w:bottom w:val="single" w:color="auto" w:sz="4" w:space="0"/>
              <w:right w:val="single" w:color="auto" w:sz="4" w:space="0"/>
            </w:tcBorders>
            <w:vAlign w:val="center"/>
          </w:tcPr>
          <w:p>
            <w:pPr>
              <w:pStyle w:val="33"/>
              <w:spacing w:line="240" w:lineRule="exact"/>
              <w:ind w:left="0" w:leftChars="0" w:firstLine="0"/>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牵头单位或责任单位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w:t>
            </w:r>
          </w:p>
        </w:tc>
        <w:tc>
          <w:tcPr>
            <w:tcW w:w="1411"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方正仿宋简体" w:cs="Times New Roman"/>
                <w:sz w:val="18"/>
                <w:szCs w:val="18"/>
                <w:lang w:eastAsia="zh-CN"/>
              </w:rPr>
            </w:pPr>
            <w:r>
              <w:rPr>
                <w:rFonts w:hint="default" w:ascii="Times New Roman" w:hAnsi="Times New Roman" w:eastAsia="方正仿宋简体" w:cs="Times New Roman"/>
                <w:kern w:val="0"/>
                <w:sz w:val="18"/>
                <w:szCs w:val="18"/>
              </w:rPr>
              <w:t>元谋县人民医院分院建设项目（一期</w:t>
            </w:r>
            <w:r>
              <w:rPr>
                <w:rFonts w:hint="eastAsia" w:ascii="Times New Roman" w:hAnsi="Times New Roman" w:eastAsia="方正仿宋简体" w:cs="Times New Roman"/>
                <w:kern w:val="0"/>
                <w:sz w:val="18"/>
                <w:szCs w:val="18"/>
                <w:lang w:eastAsia="zh-CN"/>
              </w:rPr>
              <w:t>）</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元马镇</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1.3589</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总建筑面积21704平方米，新建门急诊楼、医技楼及附属配套工程。</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2019－2022</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w:t>
            </w:r>
          </w:p>
        </w:tc>
        <w:tc>
          <w:tcPr>
            <w:tcW w:w="1411"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元谋县人民医院分院（二期）建设项目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元马镇</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2.839</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总建筑面积47316平方米，包括：外科住院楼、内科住院楼、综合住院楼（设中医科、老年病科、慢性病科、康养中心等）后勤保障楼、地下室、中心供氧、门卫消防控制、污水处理、垃圾处理、室外工程。</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2020－2023</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3</w:t>
            </w:r>
          </w:p>
        </w:tc>
        <w:tc>
          <w:tcPr>
            <w:tcW w:w="141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元谋县人民医院感染性疾病科建设项目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元马镇</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0.31</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总新建急诊部、门诊部、住院部、医技科室、保障系统、行政管理和院内生活等七项设施用房5000平方米</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2020-2023</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4</w:t>
            </w:r>
          </w:p>
        </w:tc>
        <w:tc>
          <w:tcPr>
            <w:tcW w:w="141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元谋县妇幼保健院母婴阻断传染病隔离病区建设项目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元马镇</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0.45</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总建筑面积6000平方米，新建母婴阻断传染病隔离病区。</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2021-2025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5</w:t>
            </w:r>
          </w:p>
        </w:tc>
        <w:tc>
          <w:tcPr>
            <w:tcW w:w="1411"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元谋县疾病预防控制中心建设项目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元马镇</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0.4</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建筑面积6000平方米，新建检验检测用房、应急用房、仓库等。</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2021－2025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6</w:t>
            </w:r>
          </w:p>
        </w:tc>
        <w:tc>
          <w:tcPr>
            <w:tcW w:w="1411"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元谋县域数字化医共体建设项目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元马镇</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0.4</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在楚雄州全民健康信息平台的构架下完善各项子系统和功能板块，进行区域内医共体平台建设，实现全县各级医疗机构的人、财、物的统一管理等，包括信息库、中心机房、维护中心等硬件设施设备。</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2021-2025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7</w:t>
            </w:r>
          </w:p>
        </w:tc>
        <w:tc>
          <w:tcPr>
            <w:tcW w:w="1411"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元谋县示范性托育服务机构建设项目</w:t>
            </w:r>
          </w:p>
        </w:tc>
        <w:tc>
          <w:tcPr>
            <w:tcW w:w="660"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元马镇</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0.15</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总建筑面积3000平方米，新建元谋县示范性托幼服务机构，包括孕产保健部、儿童保健部、儿童娱乐场所、营养食堂等。</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2021－2025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8</w:t>
            </w:r>
          </w:p>
        </w:tc>
        <w:tc>
          <w:tcPr>
            <w:tcW w:w="1411"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元谋县老年病医院建设项目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元马镇</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1.2</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sz w:val="18"/>
                <w:szCs w:val="18"/>
              </w:rPr>
              <w:t>元谋县元马镇规划用地30亩，投入资金1.2亿元，新建门诊、住院、医技业务用房及辅助用房，总建筑面积14000平方米，配备先进的医疗设备。拟设置心内科、神经内科、康复理疗科、影像科、检验科、中医科、药剂科、消毒供应室、医务科、护理部等10个行政、临床、医技科室。</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kern w:val="0"/>
                <w:sz w:val="18"/>
                <w:szCs w:val="18"/>
              </w:rPr>
            </w:pPr>
            <w:r>
              <w:rPr>
                <w:rFonts w:hint="default" w:ascii="Times New Roman" w:hAnsi="Times New Roman" w:eastAsia="方正仿宋简体" w:cs="Times New Roman"/>
                <w:kern w:val="0"/>
                <w:sz w:val="18"/>
                <w:szCs w:val="18"/>
              </w:rPr>
              <w:t>2023－2025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6"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9</w:t>
            </w:r>
          </w:p>
        </w:tc>
        <w:tc>
          <w:tcPr>
            <w:tcW w:w="1411"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元谋县元马镇卫生院搬迁升级改造建设项目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扩建</w:t>
            </w:r>
          </w:p>
        </w:tc>
        <w:tc>
          <w:tcPr>
            <w:tcW w:w="859"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元马镇</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1.6</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元马镇卫生院搬迁至县人民医院老院区，拆除门诊综合楼</w:t>
            </w:r>
            <w:r>
              <w:rPr>
                <w:rFonts w:hint="default" w:ascii="Times New Roman" w:hAnsi="Times New Roman" w:eastAsia="方正仿宋简体" w:cs="Times New Roman"/>
                <w:sz w:val="18"/>
                <w:szCs w:val="18"/>
              </w:rPr>
              <w:t>、传染病楼、ICU病房等三幢老旧楼房.拟建新建一幢门诊综合楼5000平方米；全院水电改造，花园式医院绿化、美化院区与居民区隔离围栏、二幢住院综合楼室内外装修改造16000平方米；信息化系统建设及购置更新CT、核磁共振等大型医疗设备。</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2022-2025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10</w:t>
            </w:r>
          </w:p>
        </w:tc>
        <w:tc>
          <w:tcPr>
            <w:tcW w:w="141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元谋县社区居家养老服务中心建设项目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元马镇</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0.5</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新建元谋县村（居）委会居家养老服务中心建设项目15个，10个社区居家养老服务中心。</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2023-2025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11</w:t>
            </w:r>
          </w:p>
        </w:tc>
        <w:tc>
          <w:tcPr>
            <w:tcW w:w="141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元谋县村级老年活动室建设项</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0.1</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新建或改造20个村级老年活动室</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2023-2025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6"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12</w:t>
            </w:r>
          </w:p>
        </w:tc>
        <w:tc>
          <w:tcPr>
            <w:tcW w:w="141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元谋县房车营地及配套设施建设项目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元马镇</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4.5</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建设地点位于元谋县元马镇，项目规划总用地面积27493亩，其中核心用地面积5258亩。总建筑面积46400平方米。主要建设游客集散及服务中心、游客换乘中心、房车营地、古猿谷栈道及防护设施、游客人防及救援中心、元谋人文化园祭祀广场。道路与交通设施占地45.05公顷，主要建设6公里主干道路4条，22.5公里次干道路7条，75公里鹅卵石及大理石游道20条。停车场3块，小车停车场占地4.5公顷，大巴停车场占地6.3公顷，生态停车场占地2公顷，绿地广场占地40.66公顷，公用设施占地1.06公顷</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2021-2025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元谋县文化旅游局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8"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13</w:t>
            </w:r>
          </w:p>
        </w:tc>
        <w:tc>
          <w:tcPr>
            <w:tcW w:w="141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元谋县金沙湖生态旅游区项目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元谋县江边乡</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100</w:t>
            </w:r>
          </w:p>
        </w:tc>
        <w:tc>
          <w:tcPr>
            <w:tcW w:w="3647" w:type="dxa"/>
            <w:tcBorders>
              <w:top w:val="single" w:color="auto" w:sz="4" w:space="0"/>
              <w:left w:val="nil"/>
              <w:bottom w:val="single" w:color="auto" w:sz="4" w:space="0"/>
              <w:right w:val="single" w:color="auto" w:sz="4" w:space="0"/>
            </w:tcBorders>
            <w:vAlign w:val="center"/>
          </w:tcPr>
          <w:p>
            <w:pPr>
              <w:pStyle w:val="29"/>
              <w:spacing w:before="21" w:beforeAutospacing="0"/>
              <w:ind w:left="38" w:right="189"/>
              <w:rPr>
                <w:rFonts w:hint="default" w:ascii="Times New Roman" w:hAnsi="Times New Roman" w:eastAsia="方正仿宋简体" w:cs="Times New Roman"/>
                <w:sz w:val="18"/>
                <w:szCs w:val="18"/>
              </w:rPr>
            </w:pPr>
            <w:r>
              <w:rPr>
                <w:rFonts w:hint="default" w:ascii="Times New Roman" w:hAnsi="Times New Roman" w:eastAsia="方正仿宋简体" w:cs="Times New Roman"/>
                <w:spacing w:val="-1"/>
                <w:sz w:val="18"/>
                <w:szCs w:val="18"/>
              </w:rPr>
              <w:t>围绕</w:t>
            </w:r>
            <w:r>
              <w:rPr>
                <w:rFonts w:hint="default" w:ascii="Times New Roman" w:hAnsi="Times New Roman" w:eastAsia="方正仿宋简体" w:cs="Times New Roman"/>
                <w:sz w:val="18"/>
                <w:szCs w:val="18"/>
              </w:rPr>
              <w:t>“一园两区·两江四岸”</w:t>
            </w:r>
            <w:r>
              <w:rPr>
                <w:rFonts w:hint="default" w:ascii="Times New Roman" w:hAnsi="Times New Roman" w:eastAsia="方正仿宋简体" w:cs="Times New Roman"/>
                <w:spacing w:val="-2"/>
                <w:sz w:val="18"/>
                <w:szCs w:val="18"/>
              </w:rPr>
              <w:t>（</w:t>
            </w:r>
            <w:r>
              <w:rPr>
                <w:rFonts w:hint="default" w:ascii="Times New Roman" w:hAnsi="Times New Roman" w:eastAsia="方正仿宋简体" w:cs="Times New Roman"/>
                <w:spacing w:val="-1"/>
                <w:sz w:val="18"/>
                <w:szCs w:val="18"/>
              </w:rPr>
              <w:t>长征国家文化公园、风景名胜区、旅游</w:t>
            </w:r>
            <w:r>
              <w:rPr>
                <w:rFonts w:hint="default" w:ascii="Times New Roman" w:hAnsi="Times New Roman" w:eastAsia="方正仿宋简体" w:cs="Times New Roman"/>
                <w:sz w:val="18"/>
                <w:szCs w:val="18"/>
              </w:rPr>
              <w:t>度假区；金沙江生态风光带、龙川江休闲景观带）总体布局，重点建设元谋龙街渡红军长征国家文化公园（红军纪念馆提升改造、棋盘山战斗遗址园、红军长征纪念园等）；金沙湾（</w:t>
            </w:r>
            <w:r>
              <w:rPr>
                <w:rFonts w:hint="default" w:ascii="Times New Roman" w:hAnsi="Times New Roman" w:eastAsia="方正仿宋简体" w:cs="Times New Roman"/>
                <w:spacing w:val="-2"/>
                <w:sz w:val="18"/>
                <w:szCs w:val="18"/>
              </w:rPr>
              <w:t xml:space="preserve">日灿金沙、度假商业综合体、    </w:t>
            </w:r>
            <w:r>
              <w:rPr>
                <w:rFonts w:hint="default" w:ascii="Times New Roman" w:hAnsi="Times New Roman" w:eastAsia="方正仿宋简体" w:cs="Times New Roman"/>
                <w:spacing w:val="-1"/>
                <w:sz w:val="18"/>
                <w:szCs w:val="18"/>
              </w:rPr>
              <w:t>度假酒店群、自然教育公园等</w:t>
            </w:r>
            <w:r>
              <w:rPr>
                <w:rFonts w:hint="default" w:ascii="Times New Roman" w:hAnsi="Times New Roman" w:eastAsia="方正仿宋简体" w:cs="Times New Roman"/>
                <w:sz w:val="18"/>
                <w:szCs w:val="18"/>
              </w:rPr>
              <w:t>）；阳光小镇（</w:t>
            </w:r>
            <w:r>
              <w:rPr>
                <w:rFonts w:hint="default" w:ascii="Times New Roman" w:hAnsi="Times New Roman" w:eastAsia="方正仿宋简体" w:cs="Times New Roman"/>
                <w:spacing w:val="-2"/>
                <w:sz w:val="18"/>
                <w:szCs w:val="18"/>
              </w:rPr>
              <w:t>美食街区、彝情花海、康</w:t>
            </w:r>
            <w:r>
              <w:rPr>
                <w:rFonts w:hint="default" w:ascii="Times New Roman" w:hAnsi="Times New Roman" w:eastAsia="方正仿宋简体" w:cs="Times New Roman"/>
                <w:spacing w:val="-1"/>
                <w:sz w:val="18"/>
                <w:szCs w:val="18"/>
              </w:rPr>
              <w:t>复疗养中心、康养民宿等</w:t>
            </w:r>
            <w:r>
              <w:rPr>
                <w:rFonts w:hint="default" w:ascii="Times New Roman" w:hAnsi="Times New Roman" w:eastAsia="方正仿宋简体" w:cs="Times New Roman"/>
                <w:sz w:val="18"/>
                <w:szCs w:val="18"/>
              </w:rPr>
              <w:t>）；活力半岛（冬训中心、游客服务中心、水上运动基地等）；金沙江水上游览区，生物多样性博物馆，成昆铁路遗址公园，同时，开展水库消落带生态治理、湖滨湿地景观营造、完善公共服务设施和基础设施配套等</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2022-2029</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元谋县文化旅游局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14</w:t>
            </w:r>
          </w:p>
        </w:tc>
        <w:tc>
          <w:tcPr>
            <w:tcW w:w="141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pacing w:val="-3"/>
                <w:sz w:val="18"/>
                <w:szCs w:val="18"/>
              </w:rPr>
              <w:t>元谋县鸡冠山勒品风情旅游度假区建</w:t>
            </w:r>
            <w:r>
              <w:rPr>
                <w:rFonts w:hint="default" w:ascii="Times New Roman" w:hAnsi="Times New Roman" w:eastAsia="方正仿宋简体" w:cs="Times New Roman"/>
                <w:sz w:val="18"/>
                <w:szCs w:val="18"/>
              </w:rPr>
              <w:t>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羊街镇</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2.85</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pacing w:val="-1"/>
                <w:sz w:val="18"/>
                <w:szCs w:val="18"/>
              </w:rPr>
              <w:t xml:space="preserve">在羊街镇平地村委会重点围绕四个主题打造勒品风情旅游度假区，重点 </w:t>
            </w:r>
            <w:r>
              <w:rPr>
                <w:rFonts w:hint="default" w:ascii="Times New Roman" w:hAnsi="Times New Roman" w:eastAsia="方正仿宋简体" w:cs="Times New Roman"/>
                <w:spacing w:val="18"/>
                <w:sz w:val="18"/>
                <w:szCs w:val="18"/>
              </w:rPr>
              <w:t> </w:t>
            </w:r>
            <w:r>
              <w:rPr>
                <w:rFonts w:hint="default" w:ascii="Times New Roman" w:hAnsi="Times New Roman" w:eastAsia="方正仿宋简体" w:cs="Times New Roman"/>
                <w:sz w:val="18"/>
                <w:szCs w:val="18"/>
              </w:rPr>
              <w:t>开展产业培育、旅游景点开发、基础设施建设等。</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2022-2025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元谋县文化旅游局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15</w:t>
            </w:r>
          </w:p>
        </w:tc>
        <w:tc>
          <w:tcPr>
            <w:tcW w:w="141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“元谋人”遗址公园建设项目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元马镇</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0.0256</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建设</w:t>
            </w:r>
            <w:r>
              <w:rPr>
                <w:rFonts w:hint="default" w:ascii="Times New Roman" w:hAnsi="Times New Roman" w:cs="Times New Roman"/>
                <w:kern w:val="0"/>
                <w:sz w:val="18"/>
                <w:szCs w:val="18"/>
              </w:rPr>
              <w:t>瞭</w:t>
            </w:r>
            <w:r>
              <w:rPr>
                <w:rFonts w:hint="default" w:ascii="Times New Roman" w:hAnsi="Times New Roman" w:eastAsia="方正仿宋简体" w:cs="Times New Roman"/>
                <w:kern w:val="0"/>
                <w:sz w:val="18"/>
                <w:szCs w:val="18"/>
              </w:rPr>
              <w:t>望塔及电视监控体系和牛肩包地层观察台以及郭家包、牛肩包文物展示区；实施环境工程、绿化工程；完善公厕、垃圾收集等环境卫生设施；</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2020-2025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元谋县文化旅游局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9"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16</w:t>
            </w:r>
          </w:p>
        </w:tc>
        <w:tc>
          <w:tcPr>
            <w:tcW w:w="1411" w:type="dxa"/>
            <w:tcBorders>
              <w:top w:val="single" w:color="auto" w:sz="4" w:space="0"/>
              <w:left w:val="nil"/>
              <w:bottom w:val="single" w:color="auto" w:sz="4" w:space="0"/>
              <w:right w:val="single" w:color="auto" w:sz="4" w:space="0"/>
            </w:tcBorders>
            <w:vAlign w:val="center"/>
          </w:tcPr>
          <w:p>
            <w:pPr>
              <w:pStyle w:val="29"/>
              <w:spacing w:line="241" w:lineRule="exact"/>
              <w:ind w:left="40"/>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古人类龙山云顶半山酒店</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元马镇</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1.2</w:t>
            </w:r>
          </w:p>
        </w:tc>
        <w:tc>
          <w:tcPr>
            <w:tcW w:w="3647" w:type="dxa"/>
            <w:tcBorders>
              <w:top w:val="single" w:color="auto" w:sz="4" w:space="0"/>
              <w:left w:val="nil"/>
              <w:bottom w:val="single" w:color="auto" w:sz="4" w:space="0"/>
              <w:right w:val="single" w:color="auto" w:sz="4" w:space="0"/>
            </w:tcBorders>
            <w:vAlign w:val="center"/>
          </w:tcPr>
          <w:p>
            <w:pPr>
              <w:pStyle w:val="29"/>
              <w:spacing w:line="241" w:lineRule="exact"/>
              <w:ind w:left="38"/>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酒店地处元谋县城西部3公里处的凤凰山上的元谋人世界公园景区内，酒店总用地面积58551.88</w:t>
            </w:r>
            <w:r>
              <w:rPr>
                <w:rFonts w:hint="default" w:ascii="Times New Roman" w:hAnsi="Times New Roman" w:cs="Times New Roman"/>
                <w:sz w:val="18"/>
                <w:szCs w:val="18"/>
              </w:rPr>
              <w:t>㎡</w:t>
            </w:r>
            <w:r>
              <w:rPr>
                <w:rFonts w:hint="default" w:ascii="Times New Roman" w:hAnsi="Times New Roman" w:eastAsia="方正仿宋简体" w:cs="Times New Roman"/>
                <w:sz w:val="18"/>
                <w:szCs w:val="18"/>
              </w:rPr>
              <w:t>，总建筑面积19732.66</w:t>
            </w:r>
            <w:r>
              <w:rPr>
                <w:rFonts w:hint="default" w:ascii="Times New Roman" w:hAnsi="Times New Roman" w:cs="Times New Roman"/>
                <w:sz w:val="18"/>
                <w:szCs w:val="18"/>
              </w:rPr>
              <w:t>㎡</w:t>
            </w:r>
            <w:r>
              <w:rPr>
                <w:rFonts w:hint="default" w:ascii="Times New Roman" w:hAnsi="Times New Roman" w:eastAsia="方正仿宋简体" w:cs="Times New Roman"/>
                <w:sz w:val="18"/>
                <w:szCs w:val="18"/>
              </w:rPr>
              <w:t>、建筑占地面积10189.87</w:t>
            </w:r>
            <w:r>
              <w:rPr>
                <w:rFonts w:hint="default" w:ascii="Times New Roman" w:hAnsi="Times New Roman" w:cs="Times New Roman"/>
                <w:sz w:val="18"/>
                <w:szCs w:val="18"/>
              </w:rPr>
              <w:t>㎡</w:t>
            </w:r>
            <w:r>
              <w:rPr>
                <w:rFonts w:hint="default" w:ascii="Times New Roman" w:hAnsi="Times New Roman" w:eastAsia="方正仿宋简体" w:cs="Times New Roman"/>
                <w:sz w:val="18"/>
                <w:szCs w:val="18"/>
              </w:rPr>
              <w:t>，建筑密度17.40%，容积率0.34，绿地率64.05%、酒店为独立院落式温泉酒店，拟建设21幢独立院落、停车位178个。</w:t>
            </w:r>
          </w:p>
          <w:p>
            <w:pPr>
              <w:widowControl/>
              <w:textAlignment w:val="center"/>
              <w:rPr>
                <w:rFonts w:hint="default" w:ascii="Times New Roman" w:hAnsi="Times New Roman" w:eastAsia="方正仿宋简体" w:cs="Times New Roman"/>
                <w:sz w:val="18"/>
                <w:szCs w:val="18"/>
              </w:rPr>
            </w:pP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2022-2025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元谋县文化旅游局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17</w:t>
            </w:r>
          </w:p>
        </w:tc>
        <w:tc>
          <w:tcPr>
            <w:tcW w:w="141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元谋人世界公园项目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提升</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元马镇</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58</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pacing w:val="-1"/>
                <w:sz w:val="18"/>
                <w:szCs w:val="18"/>
              </w:rPr>
              <w:t xml:space="preserve">完成“元谋人”文化园主体工程建设，建成东方人类祭祀主题公园；完  成龙山颐谷休闲度假区体验中心建设，建成休闲养生基地；完成热坝田   </w:t>
            </w:r>
            <w:r>
              <w:rPr>
                <w:rFonts w:hint="default" w:ascii="Times New Roman" w:hAnsi="Times New Roman" w:eastAsia="方正仿宋简体" w:cs="Times New Roman"/>
                <w:sz w:val="18"/>
                <w:szCs w:val="18"/>
              </w:rPr>
              <w:t>园山谷休闲区生态修复，力争创建国家5A级旅游景区。</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2022-2025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元谋县文化旅游局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18</w:t>
            </w:r>
          </w:p>
        </w:tc>
        <w:tc>
          <w:tcPr>
            <w:tcW w:w="1411"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元谋县“非遗”博物馆建设项目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 </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0.3</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新建“非遗”博物馆一座。</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2022-2025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元谋县文化旅游局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19</w:t>
            </w:r>
          </w:p>
        </w:tc>
        <w:tc>
          <w:tcPr>
            <w:tcW w:w="1411"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元谋县幸福国康之家颐园项目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元马镇</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1.46</w:t>
            </w:r>
          </w:p>
        </w:tc>
        <w:tc>
          <w:tcPr>
            <w:tcW w:w="3647" w:type="dxa"/>
            <w:tcBorders>
              <w:top w:val="single" w:color="auto" w:sz="4" w:space="0"/>
              <w:left w:val="nil"/>
              <w:bottom w:val="single" w:color="auto" w:sz="4" w:space="0"/>
              <w:right w:val="single" w:color="auto" w:sz="4" w:space="0"/>
            </w:tcBorders>
            <w:vAlign w:val="center"/>
          </w:tcPr>
          <w:p>
            <w:pPr>
              <w:pStyle w:val="29"/>
              <w:spacing w:before="156" w:beforeAutospacing="0" w:line="294" w:lineRule="exact"/>
              <w:ind w:left="0"/>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项目总占地面积：28亩，总建筑面积37332.06</w:t>
            </w:r>
            <w:r>
              <w:rPr>
                <w:rFonts w:hint="default" w:ascii="Times New Roman" w:hAnsi="Times New Roman" w:cs="Times New Roman"/>
                <w:sz w:val="18"/>
                <w:szCs w:val="18"/>
              </w:rPr>
              <w:t>㎡</w:t>
            </w:r>
            <w:r>
              <w:rPr>
                <w:rFonts w:hint="default" w:ascii="Times New Roman" w:hAnsi="Times New Roman" w:eastAsia="方正仿宋简体" w:cs="Times New Roman"/>
                <w:sz w:val="18"/>
                <w:szCs w:val="18"/>
              </w:rPr>
              <w:t>。主要建设：6层建筑3栋、11层建筑4栋、18层建筑1栋、门卫房一栋及公共配套设施等。</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2022-2023</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元谋县民政局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w:t>
            </w:r>
          </w:p>
        </w:tc>
        <w:tc>
          <w:tcPr>
            <w:tcW w:w="1411"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元谋县中医康养中心项目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0.2</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项目占地面积:1827.02平方米，建筑面积：8352.1平方米主要功能：在一定范围内为长期卧床老年患者残疾人、临终患者、绝症晚期和其他需要医疗护理的老年患者提供基础护理、专科护理。</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2019-2021</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元谋县民政局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21</w:t>
            </w:r>
          </w:p>
        </w:tc>
        <w:tc>
          <w:tcPr>
            <w:tcW w:w="1411"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元谋县全民健身中心建设项目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0.25</w:t>
            </w:r>
          </w:p>
        </w:tc>
        <w:tc>
          <w:tcPr>
            <w:tcW w:w="3647" w:type="dxa"/>
            <w:tcBorders>
              <w:top w:val="single" w:color="auto" w:sz="4" w:space="0"/>
              <w:left w:val="nil"/>
              <w:bottom w:val="single" w:color="auto" w:sz="4" w:space="0"/>
              <w:right w:val="single" w:color="auto" w:sz="4" w:space="0"/>
            </w:tcBorders>
            <w:vAlign w:val="center"/>
          </w:tcPr>
          <w:p>
            <w:pPr>
              <w:pStyle w:val="29"/>
              <w:spacing w:before="48" w:beforeAutospacing="0" w:line="294" w:lineRule="exact"/>
              <w:ind w:left="38"/>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新建智慧游泳馆、新建多功能健身馆6000平方米，主要包括排球、篮球、羽毛球等，配套建设灯光照明等附属设施建设。</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2022-2025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元谋县教育体育局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22</w:t>
            </w:r>
          </w:p>
        </w:tc>
        <w:tc>
          <w:tcPr>
            <w:tcW w:w="1411"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元谋县建身步道建设项目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0.125</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新建健身步道10公里，宽3米。主要建设1</w:t>
            </w:r>
            <w:r>
              <w:rPr>
                <w:rFonts w:hint="default" w:ascii="Times New Roman" w:hAnsi="Times New Roman" w:eastAsia="方正仿宋简体" w:cs="Times New Roman"/>
                <w:spacing w:val="-2"/>
                <w:sz w:val="18"/>
                <w:szCs w:val="18"/>
              </w:rPr>
              <w:t xml:space="preserve">条健身步道以及安全设施、附  </w:t>
            </w:r>
            <w:r>
              <w:rPr>
                <w:rFonts w:hint="default" w:ascii="Times New Roman" w:hAnsi="Times New Roman" w:eastAsia="方正仿宋简体" w:cs="Times New Roman"/>
                <w:sz w:val="18"/>
                <w:szCs w:val="18"/>
              </w:rPr>
              <w:t>属的服务设施和援助设备等。</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2022-2025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元谋县教育体育局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6"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23</w:t>
            </w:r>
          </w:p>
        </w:tc>
        <w:tc>
          <w:tcPr>
            <w:tcW w:w="141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20"/>
                <w:szCs w:val="20"/>
              </w:rPr>
              <w:t>元谋县摩托车越野耐力赛</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在建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1.5</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pacing w:val="-1"/>
                <w:sz w:val="20"/>
                <w:szCs w:val="20"/>
              </w:rPr>
              <w:t>建设摩托车耐力赛赛道，</w:t>
            </w:r>
            <w:r>
              <w:rPr>
                <w:rFonts w:hint="default" w:ascii="Times New Roman" w:hAnsi="Times New Roman" w:cs="Times New Roman"/>
                <w:spacing w:val="-1"/>
                <w:sz w:val="20"/>
                <w:szCs w:val="20"/>
              </w:rPr>
              <w:t>瞭</w:t>
            </w:r>
            <w:r>
              <w:rPr>
                <w:rFonts w:hint="default" w:ascii="Times New Roman" w:hAnsi="Times New Roman" w:eastAsia="方正仿宋简体" w:cs="Times New Roman"/>
                <w:spacing w:val="-1"/>
                <w:sz w:val="20"/>
                <w:szCs w:val="20"/>
              </w:rPr>
              <w:t xml:space="preserve">望塔，宾客休息区、厕所，强化摩托耐力赛 </w:t>
            </w:r>
            <w:r>
              <w:rPr>
                <w:rFonts w:hint="default" w:ascii="Times New Roman" w:hAnsi="Times New Roman" w:eastAsia="方正仿宋简体" w:cs="Times New Roman"/>
                <w:spacing w:val="18"/>
                <w:sz w:val="20"/>
                <w:szCs w:val="20"/>
              </w:rPr>
              <w:t> </w:t>
            </w:r>
            <w:r>
              <w:rPr>
                <w:rFonts w:hint="default" w:ascii="Times New Roman" w:hAnsi="Times New Roman" w:eastAsia="方正仿宋简体" w:cs="Times New Roman"/>
                <w:sz w:val="20"/>
                <w:szCs w:val="20"/>
              </w:rPr>
              <w:t>举办。</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2022-2025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元谋县教育体育局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24</w:t>
            </w:r>
          </w:p>
        </w:tc>
        <w:tc>
          <w:tcPr>
            <w:tcW w:w="141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建设研学旅行基地</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1.2</w:t>
            </w:r>
          </w:p>
        </w:tc>
        <w:tc>
          <w:tcPr>
            <w:tcW w:w="3647" w:type="dxa"/>
            <w:tcBorders>
              <w:top w:val="single" w:color="auto" w:sz="4" w:space="0"/>
              <w:left w:val="nil"/>
              <w:bottom w:val="single" w:color="auto" w:sz="4" w:space="0"/>
              <w:right w:val="single" w:color="auto" w:sz="4" w:space="0"/>
            </w:tcBorders>
            <w:vAlign w:val="center"/>
          </w:tcPr>
          <w:p>
            <w:pPr>
              <w:pStyle w:val="29"/>
              <w:spacing w:line="294" w:lineRule="exact"/>
              <w:ind w:left="38"/>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加快产品的设计与研发，加快与各教育机构的沟通联系，建设元谋土林、元谋红军长征纪念馆、“元谋人”世界公园研学旅行基地(营地)。</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2022-2025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元谋县文化和旅游局元谋县教育体育局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25</w:t>
            </w:r>
          </w:p>
        </w:tc>
        <w:tc>
          <w:tcPr>
            <w:tcW w:w="1411"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特色农庄建设项目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 </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在10乡镇建设一批特色农庄。</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2022－2025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元谋县市场监管局 </w:t>
            </w:r>
            <w:r>
              <w:rPr>
                <w:rFonts w:hint="default" w:ascii="Times New Roman" w:hAnsi="Times New Roman" w:eastAsia="方正仿宋简体" w:cs="Times New Roman"/>
                <w:spacing w:val="-2"/>
                <w:sz w:val="18"/>
                <w:szCs w:val="18"/>
              </w:rPr>
              <w:t>元谋县工业信息化商</w:t>
            </w:r>
            <w:r>
              <w:rPr>
                <w:rFonts w:hint="default" w:ascii="Times New Roman" w:hAnsi="Times New Roman" w:eastAsia="方正仿宋简体" w:cs="Times New Roman"/>
                <w:sz w:val="18"/>
                <w:szCs w:val="18"/>
              </w:rPr>
              <w:t>务科技局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1"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26</w:t>
            </w:r>
          </w:p>
        </w:tc>
        <w:tc>
          <w:tcPr>
            <w:tcW w:w="1411"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元谋县中药材标准化示范生产基地建设项目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4</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建药材种子资源圃,建立石斛、重楼等药材种子资源圃150亩,同时建设良种繁育基地300亩,并按照中药材GAP标准,建立1000亩的中药材示范基地;二期通过带动农户种植,扩大种植规模,最终达到5000亩的种植规模。绿色产业园区、食品药品产业园区等。</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2022-2025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r>
              <w:rPr>
                <w:rFonts w:hint="default" w:ascii="Times New Roman" w:hAnsi="Times New Roman" w:eastAsia="方正仿宋简体" w:cs="Times New Roman"/>
                <w:spacing w:val="-2"/>
                <w:sz w:val="18"/>
                <w:szCs w:val="18"/>
              </w:rPr>
              <w:t>元谋县工业信息化商</w:t>
            </w:r>
            <w:r>
              <w:rPr>
                <w:rFonts w:hint="default" w:ascii="Times New Roman" w:hAnsi="Times New Roman" w:eastAsia="方正仿宋简体" w:cs="Times New Roman"/>
                <w:sz w:val="18"/>
                <w:szCs w:val="18"/>
              </w:rPr>
              <w:t>务科技局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27</w:t>
            </w:r>
          </w:p>
        </w:tc>
        <w:tc>
          <w:tcPr>
            <w:tcW w:w="1411"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元谋县果蔬现代农业产业园建设项目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续建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 </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5.3736</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以葡萄、油梨、释迦和石榴等特色水果产业为支撑，建设一个具备多种功能的特色水果产业种植区、特色水果示范种植区、科普教育展示区、观光休闲区，实现“种植＋示范及科普＋休闲”为一体。打造以特色水果种植为核心，集生产示范、货源供应、观光休闲、平台运作等多功能于一体的种植型、复合型、休闲观光型的现代农业产业园。规模4818亩，其中：甘塘片区2325亩、物茂片区2493亩</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2018-2025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28</w:t>
            </w:r>
          </w:p>
        </w:tc>
        <w:tc>
          <w:tcPr>
            <w:tcW w:w="1411"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元谋县热带水果科技园建设项目</w:t>
            </w:r>
          </w:p>
        </w:tc>
        <w:tc>
          <w:tcPr>
            <w:tcW w:w="66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新建</w:t>
            </w:r>
          </w:p>
        </w:tc>
        <w:tc>
          <w:tcPr>
            <w:tcW w:w="85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 </w:t>
            </w:r>
          </w:p>
        </w:tc>
        <w:tc>
          <w:tcPr>
            <w:tcW w:w="89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1.6</w:t>
            </w:r>
          </w:p>
        </w:tc>
        <w:tc>
          <w:tcPr>
            <w:tcW w:w="3647" w:type="dxa"/>
            <w:tcBorders>
              <w:top w:val="single" w:color="auto" w:sz="4" w:space="0"/>
              <w:left w:val="nil"/>
              <w:bottom w:val="single" w:color="auto" w:sz="4" w:space="0"/>
              <w:right w:val="single" w:color="auto" w:sz="4" w:space="0"/>
            </w:tcBorders>
            <w:vAlign w:val="center"/>
          </w:tcPr>
          <w:p>
            <w:pPr>
              <w:widowControl/>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新建元谋县热带水果科技园2000亩，配套建设现代设施农业示范区、休闲观光农业体验区、新品种新技术展示区，科研教学、技术交流及农民种植技术培训中心。</w:t>
            </w:r>
          </w:p>
        </w:tc>
        <w:tc>
          <w:tcPr>
            <w:tcW w:w="81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2020-2025</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kern w:val="0"/>
                <w:sz w:val="18"/>
                <w:szCs w:val="18"/>
              </w:rPr>
              <w:t>元谋县农业农村局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96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合计</w:t>
            </w:r>
          </w:p>
        </w:tc>
        <w:tc>
          <w:tcPr>
            <w:tcW w:w="660"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方正仿宋简体" w:cs="Times New Roman"/>
                <w:sz w:val="18"/>
                <w:szCs w:val="18"/>
              </w:rPr>
            </w:pPr>
          </w:p>
        </w:tc>
        <w:tc>
          <w:tcPr>
            <w:tcW w:w="8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方正仿宋简体" w:cs="Times New Roman"/>
                <w:sz w:val="18"/>
                <w:szCs w:val="18"/>
              </w:rPr>
            </w:pPr>
          </w:p>
        </w:tc>
        <w:tc>
          <w:tcPr>
            <w:tcW w:w="898"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198.8921</w:t>
            </w:r>
          </w:p>
        </w:tc>
        <w:tc>
          <w:tcPr>
            <w:tcW w:w="3647"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方正仿宋简体" w:cs="Times New Roman"/>
                <w:sz w:val="18"/>
                <w:szCs w:val="18"/>
              </w:rPr>
            </w:pPr>
          </w:p>
        </w:tc>
        <w:tc>
          <w:tcPr>
            <w:tcW w:w="814"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方正仿宋简体" w:cs="Times New Roman"/>
                <w:sz w:val="18"/>
                <w:szCs w:val="18"/>
              </w:rPr>
            </w:pP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方正仿宋简体" w:cs="Times New Roman"/>
                <w:sz w:val="18"/>
                <w:szCs w:val="18"/>
              </w:rPr>
            </w:pPr>
          </w:p>
        </w:tc>
      </w:tr>
    </w:tbl>
    <w:p>
      <w:pPr>
        <w:pStyle w:val="19"/>
        <w:spacing w:line="560" w:lineRule="exact"/>
        <w:ind w:firstLine="0" w:firstLineChars="0"/>
        <w:rPr>
          <w:rFonts w:hint="default" w:ascii="Times New Roman" w:hAnsi="Times New Roman" w:eastAsia="仿宋_GB2312" w:cs="Times New Roman"/>
          <w:sz w:val="32"/>
          <w:szCs w:val="32"/>
        </w:rPr>
      </w:pPr>
    </w:p>
    <w:sectPr>
      <w:footerReference r:id="rId5" w:type="default"/>
      <w:pgSz w:w="11906" w:h="16838"/>
      <w:pgMar w:top="2098" w:right="1474" w:bottom="1984" w:left="1587" w:header="708" w:footer="709" w:gutter="0"/>
      <w:pgNumType w:fmt="numberInDash"/>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Arial Unicode MS"/>
    <w:panose1 w:val="00000000000000000000"/>
    <w:charset w:val="4D"/>
    <w:family w:val="roman"/>
    <w:pitch w:val="default"/>
    <w:sig w:usb0="00000000" w:usb1="00000000" w:usb2="00000010" w:usb3="00000000" w:csb0="00040001" w:csb1="00000000"/>
  </w:font>
  <w:font w:name="Cambria">
    <w:panose1 w:val="02040503050406030204"/>
    <w:charset w:val="00"/>
    <w:family w:val="roman"/>
    <w:pitch w:val="default"/>
    <w:sig w:usb0="E00002FF" w:usb1="400004FF" w:usb2="00000000" w:usb3="00000000" w:csb0="2000019F" w:csb1="00000000"/>
  </w:font>
  <w:font w:name="WenQuanYi Micro Hei">
    <w:altName w:val="宋体"/>
    <w:panose1 w:val="020B0606030804020204"/>
    <w:charset w:val="86"/>
    <w:family w:val="auto"/>
    <w:pitch w:val="default"/>
    <w:sig w:usb0="00000000" w:usb1="00000000" w:usb2="00800036" w:usb3="00000000" w:csb0="603E019F" w:csb1="DFD7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imes New Roman" w:hAnsi="Times New Roman"/>
      </w:rPr>
    </w:pPr>
    <w:r>
      <w:rPr>
        <w:rFonts w:ascii="Times New Roman" w:hAnsi="Times New Roman"/>
      </w:rP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- 38 -</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5846"/>
    <w:multiLevelType w:val="singleLevel"/>
    <w:tmpl w:val="BDFF5846"/>
    <w:lvl w:ilvl="0" w:tentative="0">
      <w:start w:val="3"/>
      <w:numFmt w:val="chineseCounting"/>
      <w:suff w:val="space"/>
      <w:lvlText w:val="第%1章"/>
      <w:lvlJc w:val="left"/>
      <w:rPr>
        <w:rFonts w:hint="eastAsia"/>
      </w:rPr>
    </w:lvl>
  </w:abstractNum>
  <w:abstractNum w:abstractNumId="1">
    <w:nsid w:val="D37C30C9"/>
    <w:multiLevelType w:val="singleLevel"/>
    <w:tmpl w:val="D37C30C9"/>
    <w:lvl w:ilvl="0" w:tentative="0">
      <w:start w:val="1"/>
      <w:numFmt w:val="chineseCounting"/>
      <w:suff w:val="nothing"/>
      <w:lvlText w:val="（%1）"/>
      <w:lvlJc w:val="left"/>
      <w:rPr>
        <w:rFonts w:hint="eastAsia"/>
      </w:rPr>
    </w:lvl>
  </w:abstractNum>
  <w:abstractNum w:abstractNumId="2">
    <w:nsid w:val="DFBD8C0B"/>
    <w:multiLevelType w:val="singleLevel"/>
    <w:tmpl w:val="DFBD8C0B"/>
    <w:lvl w:ilvl="0" w:tentative="0">
      <w:start w:val="1"/>
      <w:numFmt w:val="chineseCounting"/>
      <w:suff w:val="nothing"/>
      <w:lvlText w:val="%1、"/>
      <w:lvlJc w:val="left"/>
      <w:rPr>
        <w:rFonts w:hint="eastAsia"/>
      </w:rPr>
    </w:lvl>
  </w:abstractNum>
  <w:abstractNum w:abstractNumId="3">
    <w:nsid w:val="E9DEA5C6"/>
    <w:multiLevelType w:val="singleLevel"/>
    <w:tmpl w:val="E9DEA5C6"/>
    <w:lvl w:ilvl="0" w:tentative="0">
      <w:start w:val="1"/>
      <w:numFmt w:val="chineseCounting"/>
      <w:suff w:val="nothing"/>
      <w:lvlText w:val="（%1）"/>
      <w:lvlJc w:val="left"/>
      <w:rPr>
        <w:rFonts w:hint="eastAsia"/>
      </w:rPr>
    </w:lvl>
  </w:abstractNum>
  <w:abstractNum w:abstractNumId="4">
    <w:nsid w:val="FDFB4800"/>
    <w:multiLevelType w:val="singleLevel"/>
    <w:tmpl w:val="FDFB4800"/>
    <w:lvl w:ilvl="0" w:tentative="0">
      <w:start w:val="3"/>
      <w:numFmt w:val="chineseCounting"/>
      <w:suff w:val="space"/>
      <w:lvlText w:val="第%1节"/>
      <w:lvlJc w:val="left"/>
      <w:rPr>
        <w:rFonts w:hint="eastAsia"/>
      </w:rPr>
    </w:lvl>
  </w:abstractNum>
  <w:abstractNum w:abstractNumId="5">
    <w:nsid w:val="45D30327"/>
    <w:multiLevelType w:val="multilevel"/>
    <w:tmpl w:val="45D30327"/>
    <w:lvl w:ilvl="0" w:tentative="0">
      <w:start w:val="4"/>
      <w:numFmt w:val="chineseCounting"/>
      <w:suff w:val="space"/>
      <w:lvlText w:val="第%1节"/>
      <w:lvlJc w:val="left"/>
      <w:pPr>
        <w:ind w:left="0" w:firstLine="0"/>
      </w:pPr>
      <w:rPr>
        <w:rFonts w:hint="eastAsia" w:ascii="方正黑体简体" w:hAnsi="宋体" w:eastAsia="方正黑体简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7F1AB93"/>
    <w:multiLevelType w:val="singleLevel"/>
    <w:tmpl w:val="47F1AB93"/>
    <w:lvl w:ilvl="0" w:tentative="0">
      <w:start w:val="1"/>
      <w:numFmt w:val="chineseCounting"/>
      <w:suff w:val="space"/>
      <w:lvlText w:val="第%1节"/>
      <w:lvlJc w:val="left"/>
      <w:rPr>
        <w:rFonts w:hint="eastAsia"/>
      </w:rPr>
    </w:lvl>
  </w:abstractNum>
  <w:abstractNum w:abstractNumId="7">
    <w:nsid w:val="5F7D12A0"/>
    <w:multiLevelType w:val="multilevel"/>
    <w:tmpl w:val="5F7D12A0"/>
    <w:lvl w:ilvl="0" w:tentative="0">
      <w:start w:val="1"/>
      <w:numFmt w:val="chineseCounting"/>
      <w:suff w:val="space"/>
      <w:lvlText w:val="第%1节"/>
      <w:lvlJc w:val="left"/>
      <w:pPr>
        <w:ind w:left="0" w:firstLine="0"/>
      </w:pPr>
      <w:rPr>
        <w:rFonts w:hint="eastAsia" w:ascii="方正黑体简体" w:hAnsi="方正黑体简体" w:eastAsia="方正黑体简体" w:cs="方正黑体简体"/>
        <w:sz w:val="32"/>
        <w:szCs w:val="3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63BD1AC2"/>
    <w:multiLevelType w:val="singleLevel"/>
    <w:tmpl w:val="63BD1AC2"/>
    <w:lvl w:ilvl="0" w:tentative="0">
      <w:start w:val="2"/>
      <w:numFmt w:val="chineseCounting"/>
      <w:suff w:val="nothing"/>
      <w:lvlText w:val="%1、"/>
      <w:lvlJc w:val="left"/>
      <w:rPr>
        <w:rFonts w:hint="eastAsia"/>
      </w:rPr>
    </w:lvl>
  </w:abstractNum>
  <w:abstractNum w:abstractNumId="9">
    <w:nsid w:val="7FD6DBB5"/>
    <w:multiLevelType w:val="singleLevel"/>
    <w:tmpl w:val="7FD6DBB5"/>
    <w:lvl w:ilvl="0" w:tentative="0">
      <w:start w:val="1"/>
      <w:numFmt w:val="chineseCounting"/>
      <w:suff w:val="nothing"/>
      <w:lvlText w:val="%1、"/>
      <w:lvlJc w:val="left"/>
      <w:rPr>
        <w:rFonts w:hint="eastAsia"/>
      </w:rPr>
    </w:lvl>
  </w:abstractNum>
  <w:num w:numId="1">
    <w:abstractNumId w:val="8"/>
  </w:num>
  <w:num w:numId="2">
    <w:abstractNumId w:val="4"/>
  </w:num>
  <w:num w:numId="3">
    <w:abstractNumId w:val="9"/>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2"/>
  </w:num>
  <w:num w:numId="9">
    <w:abstractNumId w:val="1"/>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1"/>
  <w:bordersDoNotSurroundFooter w:val="1"/>
  <w:documentProtection w:enforcement="0"/>
  <w:defaultTabStop w:val="720"/>
  <w:noPunctuationKerning w:val="1"/>
  <w:characterSpacingControl w:val="doNotCompress"/>
  <w:hdrShapeDefaults>
    <o:shapelayout v:ext="edit">
      <o:idmap v:ext="edit" data="1"/>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FF0476"/>
    <w:rsid w:val="00000628"/>
    <w:rsid w:val="00023500"/>
    <w:rsid w:val="00065773"/>
    <w:rsid w:val="000A7DFB"/>
    <w:rsid w:val="000C6F53"/>
    <w:rsid w:val="000F7B3F"/>
    <w:rsid w:val="00161FB6"/>
    <w:rsid w:val="00164BB9"/>
    <w:rsid w:val="00164DBE"/>
    <w:rsid w:val="00194F81"/>
    <w:rsid w:val="001B318B"/>
    <w:rsid w:val="001E02BC"/>
    <w:rsid w:val="001E6950"/>
    <w:rsid w:val="001F419D"/>
    <w:rsid w:val="002349EC"/>
    <w:rsid w:val="002670E8"/>
    <w:rsid w:val="002F53EB"/>
    <w:rsid w:val="002F6AF3"/>
    <w:rsid w:val="00301EDF"/>
    <w:rsid w:val="00305C92"/>
    <w:rsid w:val="00323B43"/>
    <w:rsid w:val="003315DC"/>
    <w:rsid w:val="00333954"/>
    <w:rsid w:val="00344B5E"/>
    <w:rsid w:val="00374ADA"/>
    <w:rsid w:val="003C3FD5"/>
    <w:rsid w:val="003C40F8"/>
    <w:rsid w:val="003D37D8"/>
    <w:rsid w:val="003D441A"/>
    <w:rsid w:val="00414EB5"/>
    <w:rsid w:val="00430A19"/>
    <w:rsid w:val="004358AB"/>
    <w:rsid w:val="004B23CE"/>
    <w:rsid w:val="004B46BA"/>
    <w:rsid w:val="004C65C1"/>
    <w:rsid w:val="00513F06"/>
    <w:rsid w:val="00536908"/>
    <w:rsid w:val="00546364"/>
    <w:rsid w:val="00550E94"/>
    <w:rsid w:val="00577AB5"/>
    <w:rsid w:val="005821D3"/>
    <w:rsid w:val="005D505D"/>
    <w:rsid w:val="005F5FFA"/>
    <w:rsid w:val="00613195"/>
    <w:rsid w:val="00614728"/>
    <w:rsid w:val="00692D8C"/>
    <w:rsid w:val="006B5A96"/>
    <w:rsid w:val="0070529A"/>
    <w:rsid w:val="007240AF"/>
    <w:rsid w:val="00746699"/>
    <w:rsid w:val="007D45EA"/>
    <w:rsid w:val="008235BA"/>
    <w:rsid w:val="00842F57"/>
    <w:rsid w:val="00894F17"/>
    <w:rsid w:val="008B5238"/>
    <w:rsid w:val="008B7726"/>
    <w:rsid w:val="008D556E"/>
    <w:rsid w:val="008E6374"/>
    <w:rsid w:val="00971244"/>
    <w:rsid w:val="00985154"/>
    <w:rsid w:val="009A4701"/>
    <w:rsid w:val="009D2FB9"/>
    <w:rsid w:val="00AF2DE4"/>
    <w:rsid w:val="00B3002C"/>
    <w:rsid w:val="00B44884"/>
    <w:rsid w:val="00B56193"/>
    <w:rsid w:val="00B871D4"/>
    <w:rsid w:val="00C41C75"/>
    <w:rsid w:val="00C51CC8"/>
    <w:rsid w:val="00C729FD"/>
    <w:rsid w:val="00CD6A8B"/>
    <w:rsid w:val="00CE5404"/>
    <w:rsid w:val="00D14F1F"/>
    <w:rsid w:val="00D159A7"/>
    <w:rsid w:val="00DC617D"/>
    <w:rsid w:val="00DD2C47"/>
    <w:rsid w:val="00E1238C"/>
    <w:rsid w:val="00E2515E"/>
    <w:rsid w:val="00E276CD"/>
    <w:rsid w:val="00E3277A"/>
    <w:rsid w:val="00E61484"/>
    <w:rsid w:val="00E8041B"/>
    <w:rsid w:val="00EB4D48"/>
    <w:rsid w:val="00EC61A7"/>
    <w:rsid w:val="00ED1FD5"/>
    <w:rsid w:val="00EF6C43"/>
    <w:rsid w:val="00F3625B"/>
    <w:rsid w:val="00F43BAB"/>
    <w:rsid w:val="00F540A0"/>
    <w:rsid w:val="00F86A9F"/>
    <w:rsid w:val="00F95ADC"/>
    <w:rsid w:val="00FA3EB6"/>
    <w:rsid w:val="00FB29B1"/>
    <w:rsid w:val="00FC15F3"/>
    <w:rsid w:val="00FF0476"/>
    <w:rsid w:val="01056B36"/>
    <w:rsid w:val="010817AD"/>
    <w:rsid w:val="011C2681"/>
    <w:rsid w:val="01394300"/>
    <w:rsid w:val="01500E63"/>
    <w:rsid w:val="015A0ED9"/>
    <w:rsid w:val="017D5355"/>
    <w:rsid w:val="01906495"/>
    <w:rsid w:val="019C03FC"/>
    <w:rsid w:val="01A37CE8"/>
    <w:rsid w:val="01AA209B"/>
    <w:rsid w:val="01CA12B1"/>
    <w:rsid w:val="01DD266B"/>
    <w:rsid w:val="01E5620E"/>
    <w:rsid w:val="01F4625E"/>
    <w:rsid w:val="0212581C"/>
    <w:rsid w:val="025143AF"/>
    <w:rsid w:val="028B2FDF"/>
    <w:rsid w:val="02A04806"/>
    <w:rsid w:val="02E97350"/>
    <w:rsid w:val="03025265"/>
    <w:rsid w:val="0339734A"/>
    <w:rsid w:val="03490FDD"/>
    <w:rsid w:val="03556BB9"/>
    <w:rsid w:val="03570F6E"/>
    <w:rsid w:val="03753B58"/>
    <w:rsid w:val="03960652"/>
    <w:rsid w:val="03A054E5"/>
    <w:rsid w:val="03BB11D4"/>
    <w:rsid w:val="03D07190"/>
    <w:rsid w:val="03DA78F6"/>
    <w:rsid w:val="03E7386B"/>
    <w:rsid w:val="04115EB3"/>
    <w:rsid w:val="041A2B21"/>
    <w:rsid w:val="043B567D"/>
    <w:rsid w:val="046D5C68"/>
    <w:rsid w:val="04914C5E"/>
    <w:rsid w:val="04B10CFD"/>
    <w:rsid w:val="04BE559A"/>
    <w:rsid w:val="04D75003"/>
    <w:rsid w:val="052A636A"/>
    <w:rsid w:val="054D7CB2"/>
    <w:rsid w:val="0568576F"/>
    <w:rsid w:val="05E940A9"/>
    <w:rsid w:val="064641AB"/>
    <w:rsid w:val="064648BD"/>
    <w:rsid w:val="06536D7B"/>
    <w:rsid w:val="065F37C2"/>
    <w:rsid w:val="066224DE"/>
    <w:rsid w:val="067B07DE"/>
    <w:rsid w:val="06A212F5"/>
    <w:rsid w:val="06A3714A"/>
    <w:rsid w:val="06AB7FF6"/>
    <w:rsid w:val="06B05D55"/>
    <w:rsid w:val="06DA68B5"/>
    <w:rsid w:val="06DE09EB"/>
    <w:rsid w:val="06F41081"/>
    <w:rsid w:val="06FD0846"/>
    <w:rsid w:val="072B3555"/>
    <w:rsid w:val="07326D2B"/>
    <w:rsid w:val="073D154E"/>
    <w:rsid w:val="07886019"/>
    <w:rsid w:val="07A834A7"/>
    <w:rsid w:val="07C61310"/>
    <w:rsid w:val="07C76DA8"/>
    <w:rsid w:val="07CC7F9C"/>
    <w:rsid w:val="07DC488E"/>
    <w:rsid w:val="07EB616B"/>
    <w:rsid w:val="07F15552"/>
    <w:rsid w:val="07FB74A0"/>
    <w:rsid w:val="08044615"/>
    <w:rsid w:val="08096283"/>
    <w:rsid w:val="080E26E9"/>
    <w:rsid w:val="08365C10"/>
    <w:rsid w:val="08750CE9"/>
    <w:rsid w:val="08AF6AFB"/>
    <w:rsid w:val="08C71456"/>
    <w:rsid w:val="08D22E5D"/>
    <w:rsid w:val="08D46A79"/>
    <w:rsid w:val="08F15CAD"/>
    <w:rsid w:val="092A6AF9"/>
    <w:rsid w:val="092D10F0"/>
    <w:rsid w:val="0931249D"/>
    <w:rsid w:val="09340F9E"/>
    <w:rsid w:val="0983646A"/>
    <w:rsid w:val="09926BF9"/>
    <w:rsid w:val="09A36D2B"/>
    <w:rsid w:val="09B24C8C"/>
    <w:rsid w:val="09C17FC1"/>
    <w:rsid w:val="09CB1006"/>
    <w:rsid w:val="09CF4078"/>
    <w:rsid w:val="0A30291E"/>
    <w:rsid w:val="0A31121D"/>
    <w:rsid w:val="0A3A3D15"/>
    <w:rsid w:val="0A521A1C"/>
    <w:rsid w:val="0A587486"/>
    <w:rsid w:val="0A6631B3"/>
    <w:rsid w:val="0A6E4CC7"/>
    <w:rsid w:val="0AC2238D"/>
    <w:rsid w:val="0ACD4ED7"/>
    <w:rsid w:val="0AF90261"/>
    <w:rsid w:val="0B147753"/>
    <w:rsid w:val="0B147B7B"/>
    <w:rsid w:val="0B1C7CCD"/>
    <w:rsid w:val="0B2429D3"/>
    <w:rsid w:val="0B3F31B8"/>
    <w:rsid w:val="0B862E57"/>
    <w:rsid w:val="0B991621"/>
    <w:rsid w:val="0BCC660B"/>
    <w:rsid w:val="0BD67B8A"/>
    <w:rsid w:val="0BDB63A2"/>
    <w:rsid w:val="0BE17AC0"/>
    <w:rsid w:val="0C02730A"/>
    <w:rsid w:val="0C2C2D37"/>
    <w:rsid w:val="0C3D100C"/>
    <w:rsid w:val="0C611DD9"/>
    <w:rsid w:val="0C8810B2"/>
    <w:rsid w:val="0C8A0871"/>
    <w:rsid w:val="0C8E78CD"/>
    <w:rsid w:val="0CBA6FA0"/>
    <w:rsid w:val="0CC54268"/>
    <w:rsid w:val="0CCA0CC0"/>
    <w:rsid w:val="0CD40513"/>
    <w:rsid w:val="0CF7262C"/>
    <w:rsid w:val="0D1C6152"/>
    <w:rsid w:val="0D2218D3"/>
    <w:rsid w:val="0D3E0198"/>
    <w:rsid w:val="0D4244D8"/>
    <w:rsid w:val="0D82755B"/>
    <w:rsid w:val="0DBC4E06"/>
    <w:rsid w:val="0DD17110"/>
    <w:rsid w:val="0DD37E79"/>
    <w:rsid w:val="0DEA45A0"/>
    <w:rsid w:val="0E250411"/>
    <w:rsid w:val="0E33213A"/>
    <w:rsid w:val="0E672F79"/>
    <w:rsid w:val="0E956356"/>
    <w:rsid w:val="0ED24427"/>
    <w:rsid w:val="0ED61D95"/>
    <w:rsid w:val="0EE7708B"/>
    <w:rsid w:val="0F1569C7"/>
    <w:rsid w:val="0F1C5220"/>
    <w:rsid w:val="0F25422D"/>
    <w:rsid w:val="0F2D1CC6"/>
    <w:rsid w:val="0F2F6DE5"/>
    <w:rsid w:val="0F3B70AA"/>
    <w:rsid w:val="0F5262FA"/>
    <w:rsid w:val="0F573260"/>
    <w:rsid w:val="0FBA3E78"/>
    <w:rsid w:val="0FDE665F"/>
    <w:rsid w:val="101C345C"/>
    <w:rsid w:val="101C3B23"/>
    <w:rsid w:val="102E7D4D"/>
    <w:rsid w:val="104522E4"/>
    <w:rsid w:val="105E4801"/>
    <w:rsid w:val="107717FC"/>
    <w:rsid w:val="107E1E36"/>
    <w:rsid w:val="10834E16"/>
    <w:rsid w:val="108C227C"/>
    <w:rsid w:val="10A05901"/>
    <w:rsid w:val="10F11C6D"/>
    <w:rsid w:val="110C74D9"/>
    <w:rsid w:val="115E2099"/>
    <w:rsid w:val="11625985"/>
    <w:rsid w:val="118F6BA7"/>
    <w:rsid w:val="11A46141"/>
    <w:rsid w:val="11A54A2C"/>
    <w:rsid w:val="122C7969"/>
    <w:rsid w:val="125C7ABC"/>
    <w:rsid w:val="12907A76"/>
    <w:rsid w:val="129669B7"/>
    <w:rsid w:val="12A05BFD"/>
    <w:rsid w:val="12A10EAB"/>
    <w:rsid w:val="12EE72F5"/>
    <w:rsid w:val="12F67841"/>
    <w:rsid w:val="134D79CB"/>
    <w:rsid w:val="13530702"/>
    <w:rsid w:val="13566BE0"/>
    <w:rsid w:val="137C79E4"/>
    <w:rsid w:val="13821B4B"/>
    <w:rsid w:val="138B6AB2"/>
    <w:rsid w:val="13D16F35"/>
    <w:rsid w:val="13D52C6F"/>
    <w:rsid w:val="13E11421"/>
    <w:rsid w:val="13E21531"/>
    <w:rsid w:val="13E953F6"/>
    <w:rsid w:val="141E3C3E"/>
    <w:rsid w:val="14220926"/>
    <w:rsid w:val="14297DCE"/>
    <w:rsid w:val="14474D9A"/>
    <w:rsid w:val="144D3492"/>
    <w:rsid w:val="14563953"/>
    <w:rsid w:val="1457332D"/>
    <w:rsid w:val="14576910"/>
    <w:rsid w:val="145C5D84"/>
    <w:rsid w:val="1474126B"/>
    <w:rsid w:val="147D1996"/>
    <w:rsid w:val="14B115C2"/>
    <w:rsid w:val="14CB00FD"/>
    <w:rsid w:val="14FA233B"/>
    <w:rsid w:val="151B0304"/>
    <w:rsid w:val="15450293"/>
    <w:rsid w:val="15877927"/>
    <w:rsid w:val="15A41ED3"/>
    <w:rsid w:val="15D93BBC"/>
    <w:rsid w:val="16743E12"/>
    <w:rsid w:val="16AC3C24"/>
    <w:rsid w:val="16AD19AF"/>
    <w:rsid w:val="16B80707"/>
    <w:rsid w:val="16D07DFA"/>
    <w:rsid w:val="173470EC"/>
    <w:rsid w:val="17557F87"/>
    <w:rsid w:val="1760597C"/>
    <w:rsid w:val="177128AB"/>
    <w:rsid w:val="178E252C"/>
    <w:rsid w:val="17921FED"/>
    <w:rsid w:val="17A87478"/>
    <w:rsid w:val="17E8436E"/>
    <w:rsid w:val="18472402"/>
    <w:rsid w:val="184F547F"/>
    <w:rsid w:val="1851299E"/>
    <w:rsid w:val="187E1709"/>
    <w:rsid w:val="18B64DB4"/>
    <w:rsid w:val="18E876D2"/>
    <w:rsid w:val="18F16A4E"/>
    <w:rsid w:val="192F6C40"/>
    <w:rsid w:val="1950311F"/>
    <w:rsid w:val="19700D93"/>
    <w:rsid w:val="197B79CD"/>
    <w:rsid w:val="19AC3278"/>
    <w:rsid w:val="19BC73BC"/>
    <w:rsid w:val="19DA0266"/>
    <w:rsid w:val="19E47AFA"/>
    <w:rsid w:val="1A231AF4"/>
    <w:rsid w:val="1A2A5901"/>
    <w:rsid w:val="1A4C6820"/>
    <w:rsid w:val="1A6506FE"/>
    <w:rsid w:val="1A895445"/>
    <w:rsid w:val="1AA13D2C"/>
    <w:rsid w:val="1AAF190C"/>
    <w:rsid w:val="1AB94723"/>
    <w:rsid w:val="1ACC0FAC"/>
    <w:rsid w:val="1ACD4A17"/>
    <w:rsid w:val="1B1E4B31"/>
    <w:rsid w:val="1B5170FA"/>
    <w:rsid w:val="1B5D3CFC"/>
    <w:rsid w:val="1B651B29"/>
    <w:rsid w:val="1B7D5724"/>
    <w:rsid w:val="1B7F7A02"/>
    <w:rsid w:val="1C2A1E07"/>
    <w:rsid w:val="1C6428B8"/>
    <w:rsid w:val="1C64537D"/>
    <w:rsid w:val="1C6B153B"/>
    <w:rsid w:val="1C821237"/>
    <w:rsid w:val="1CCE236B"/>
    <w:rsid w:val="1CD12216"/>
    <w:rsid w:val="1CF13D12"/>
    <w:rsid w:val="1D021550"/>
    <w:rsid w:val="1D102E83"/>
    <w:rsid w:val="1D127C6B"/>
    <w:rsid w:val="1D7848F6"/>
    <w:rsid w:val="1D8165EB"/>
    <w:rsid w:val="1D833113"/>
    <w:rsid w:val="1D9A52C2"/>
    <w:rsid w:val="1DB45DEF"/>
    <w:rsid w:val="1DB50A53"/>
    <w:rsid w:val="1DD470C5"/>
    <w:rsid w:val="1E070888"/>
    <w:rsid w:val="1E7318D3"/>
    <w:rsid w:val="1E736869"/>
    <w:rsid w:val="1EAA2B00"/>
    <w:rsid w:val="1EB81021"/>
    <w:rsid w:val="1ECC28E3"/>
    <w:rsid w:val="1EF9714E"/>
    <w:rsid w:val="1F0E5E04"/>
    <w:rsid w:val="1F9D6414"/>
    <w:rsid w:val="1F9EED18"/>
    <w:rsid w:val="1FC707B1"/>
    <w:rsid w:val="1FC99F6C"/>
    <w:rsid w:val="1FCE33B0"/>
    <w:rsid w:val="1FD925A7"/>
    <w:rsid w:val="1FDE718D"/>
    <w:rsid w:val="204909C4"/>
    <w:rsid w:val="204E6D41"/>
    <w:rsid w:val="20D153FE"/>
    <w:rsid w:val="20F906B9"/>
    <w:rsid w:val="210A6ED5"/>
    <w:rsid w:val="211D4CE2"/>
    <w:rsid w:val="2153513F"/>
    <w:rsid w:val="215F6405"/>
    <w:rsid w:val="21654D53"/>
    <w:rsid w:val="21C748AE"/>
    <w:rsid w:val="21E970FA"/>
    <w:rsid w:val="220361F3"/>
    <w:rsid w:val="22267E12"/>
    <w:rsid w:val="22307ACF"/>
    <w:rsid w:val="22314A07"/>
    <w:rsid w:val="225A1299"/>
    <w:rsid w:val="225B0C5B"/>
    <w:rsid w:val="225F1A56"/>
    <w:rsid w:val="225F54A0"/>
    <w:rsid w:val="2286345A"/>
    <w:rsid w:val="22A56A7C"/>
    <w:rsid w:val="22B41F7E"/>
    <w:rsid w:val="22BF686B"/>
    <w:rsid w:val="23041424"/>
    <w:rsid w:val="23324925"/>
    <w:rsid w:val="23561C2D"/>
    <w:rsid w:val="23805AD0"/>
    <w:rsid w:val="238338A5"/>
    <w:rsid w:val="23DB4A65"/>
    <w:rsid w:val="23DE6924"/>
    <w:rsid w:val="23EA7F45"/>
    <w:rsid w:val="24C15EAC"/>
    <w:rsid w:val="2515000D"/>
    <w:rsid w:val="251754DF"/>
    <w:rsid w:val="2525392A"/>
    <w:rsid w:val="252849ED"/>
    <w:rsid w:val="25415DA4"/>
    <w:rsid w:val="2550468B"/>
    <w:rsid w:val="255233F7"/>
    <w:rsid w:val="2558177B"/>
    <w:rsid w:val="25646AC7"/>
    <w:rsid w:val="25665639"/>
    <w:rsid w:val="25A67F72"/>
    <w:rsid w:val="25BB7D1E"/>
    <w:rsid w:val="26092C6E"/>
    <w:rsid w:val="26344F56"/>
    <w:rsid w:val="26430DF7"/>
    <w:rsid w:val="26476F85"/>
    <w:rsid w:val="269A5532"/>
    <w:rsid w:val="26C96EF9"/>
    <w:rsid w:val="26EE6BA4"/>
    <w:rsid w:val="26F421D6"/>
    <w:rsid w:val="270F2765"/>
    <w:rsid w:val="27101E3B"/>
    <w:rsid w:val="27107249"/>
    <w:rsid w:val="27314604"/>
    <w:rsid w:val="27572F76"/>
    <w:rsid w:val="27775FB8"/>
    <w:rsid w:val="27802A1B"/>
    <w:rsid w:val="27A3413F"/>
    <w:rsid w:val="27B21014"/>
    <w:rsid w:val="27D54690"/>
    <w:rsid w:val="27F54B73"/>
    <w:rsid w:val="28141CE5"/>
    <w:rsid w:val="281735A8"/>
    <w:rsid w:val="28232F17"/>
    <w:rsid w:val="28235705"/>
    <w:rsid w:val="28342FF0"/>
    <w:rsid w:val="283A4D92"/>
    <w:rsid w:val="28477A9D"/>
    <w:rsid w:val="28B67A79"/>
    <w:rsid w:val="28BD54EB"/>
    <w:rsid w:val="28FC698D"/>
    <w:rsid w:val="29196752"/>
    <w:rsid w:val="2929600C"/>
    <w:rsid w:val="29494ADE"/>
    <w:rsid w:val="29682CED"/>
    <w:rsid w:val="29816F8F"/>
    <w:rsid w:val="29925DA3"/>
    <w:rsid w:val="29AC3C61"/>
    <w:rsid w:val="29E4685B"/>
    <w:rsid w:val="29F072CD"/>
    <w:rsid w:val="2A370C3F"/>
    <w:rsid w:val="2A384F31"/>
    <w:rsid w:val="2A3A4464"/>
    <w:rsid w:val="2A610DC2"/>
    <w:rsid w:val="2AA50A89"/>
    <w:rsid w:val="2AAF280F"/>
    <w:rsid w:val="2B086FCE"/>
    <w:rsid w:val="2B2F3D71"/>
    <w:rsid w:val="2B4B6469"/>
    <w:rsid w:val="2B4D1335"/>
    <w:rsid w:val="2BD5468E"/>
    <w:rsid w:val="2BEC5D77"/>
    <w:rsid w:val="2BF652DF"/>
    <w:rsid w:val="2C1960FC"/>
    <w:rsid w:val="2C263E9A"/>
    <w:rsid w:val="2C345464"/>
    <w:rsid w:val="2C5F08F6"/>
    <w:rsid w:val="2C6C7AC3"/>
    <w:rsid w:val="2C7450D2"/>
    <w:rsid w:val="2C751EAF"/>
    <w:rsid w:val="2C8568AC"/>
    <w:rsid w:val="2CFD2201"/>
    <w:rsid w:val="2D193630"/>
    <w:rsid w:val="2D1F2009"/>
    <w:rsid w:val="2D382D5D"/>
    <w:rsid w:val="2D39633D"/>
    <w:rsid w:val="2D913F32"/>
    <w:rsid w:val="2D937F9B"/>
    <w:rsid w:val="2D9948E8"/>
    <w:rsid w:val="2DAF31E0"/>
    <w:rsid w:val="2DC6453E"/>
    <w:rsid w:val="2DDB34D1"/>
    <w:rsid w:val="2DDDA29B"/>
    <w:rsid w:val="2DFE72D0"/>
    <w:rsid w:val="2E1149BF"/>
    <w:rsid w:val="2E217C0A"/>
    <w:rsid w:val="2E226317"/>
    <w:rsid w:val="2E260616"/>
    <w:rsid w:val="2E290583"/>
    <w:rsid w:val="2E3024AB"/>
    <w:rsid w:val="2E5F0B50"/>
    <w:rsid w:val="2E6876F3"/>
    <w:rsid w:val="2E852927"/>
    <w:rsid w:val="2E8E273E"/>
    <w:rsid w:val="2E9C18EC"/>
    <w:rsid w:val="2EDD571F"/>
    <w:rsid w:val="2EE94577"/>
    <w:rsid w:val="2EF276D0"/>
    <w:rsid w:val="2EF56BF8"/>
    <w:rsid w:val="2F0023D1"/>
    <w:rsid w:val="2F2E3ED9"/>
    <w:rsid w:val="2F8339C2"/>
    <w:rsid w:val="2F8368CC"/>
    <w:rsid w:val="2F914BC1"/>
    <w:rsid w:val="2FA31F62"/>
    <w:rsid w:val="2FD338D2"/>
    <w:rsid w:val="2FF31CD2"/>
    <w:rsid w:val="300A5BE3"/>
    <w:rsid w:val="300C5CF5"/>
    <w:rsid w:val="30465266"/>
    <w:rsid w:val="3061484C"/>
    <w:rsid w:val="30C504F1"/>
    <w:rsid w:val="30D4354A"/>
    <w:rsid w:val="30EA39B7"/>
    <w:rsid w:val="30FA0FE0"/>
    <w:rsid w:val="30FC3A46"/>
    <w:rsid w:val="31143B4C"/>
    <w:rsid w:val="31772031"/>
    <w:rsid w:val="317D7F0C"/>
    <w:rsid w:val="31867805"/>
    <w:rsid w:val="318B48F2"/>
    <w:rsid w:val="31940593"/>
    <w:rsid w:val="319755C6"/>
    <w:rsid w:val="31C54FA3"/>
    <w:rsid w:val="31EF3961"/>
    <w:rsid w:val="321B615F"/>
    <w:rsid w:val="321D03FF"/>
    <w:rsid w:val="32205BA8"/>
    <w:rsid w:val="32376A01"/>
    <w:rsid w:val="324870C7"/>
    <w:rsid w:val="324D4759"/>
    <w:rsid w:val="3261770E"/>
    <w:rsid w:val="32D33EA0"/>
    <w:rsid w:val="32F63201"/>
    <w:rsid w:val="330B28B1"/>
    <w:rsid w:val="33174A64"/>
    <w:rsid w:val="336E123E"/>
    <w:rsid w:val="33B47AFC"/>
    <w:rsid w:val="33BE33E2"/>
    <w:rsid w:val="33E80EEF"/>
    <w:rsid w:val="33F413C7"/>
    <w:rsid w:val="340305F9"/>
    <w:rsid w:val="34061080"/>
    <w:rsid w:val="3407166A"/>
    <w:rsid w:val="341556C7"/>
    <w:rsid w:val="344664B6"/>
    <w:rsid w:val="34745CBF"/>
    <w:rsid w:val="347C1284"/>
    <w:rsid w:val="34801620"/>
    <w:rsid w:val="348E7D16"/>
    <w:rsid w:val="34CC4647"/>
    <w:rsid w:val="34FB5403"/>
    <w:rsid w:val="34FF6628"/>
    <w:rsid w:val="351F4430"/>
    <w:rsid w:val="354708A6"/>
    <w:rsid w:val="35891323"/>
    <w:rsid w:val="35A56DC1"/>
    <w:rsid w:val="35E05780"/>
    <w:rsid w:val="360F5A79"/>
    <w:rsid w:val="36145E67"/>
    <w:rsid w:val="36225F7A"/>
    <w:rsid w:val="36636E59"/>
    <w:rsid w:val="36C35BB3"/>
    <w:rsid w:val="36D20855"/>
    <w:rsid w:val="36F54BBC"/>
    <w:rsid w:val="37175944"/>
    <w:rsid w:val="3726374F"/>
    <w:rsid w:val="373206EB"/>
    <w:rsid w:val="379A0738"/>
    <w:rsid w:val="37DD51D6"/>
    <w:rsid w:val="37E77334"/>
    <w:rsid w:val="38103FBF"/>
    <w:rsid w:val="38291D3F"/>
    <w:rsid w:val="385B59A4"/>
    <w:rsid w:val="385F33A6"/>
    <w:rsid w:val="38854CA6"/>
    <w:rsid w:val="388E5841"/>
    <w:rsid w:val="389913B8"/>
    <w:rsid w:val="389F33B2"/>
    <w:rsid w:val="38A50A2B"/>
    <w:rsid w:val="38BC1197"/>
    <w:rsid w:val="38D159C0"/>
    <w:rsid w:val="38DA6752"/>
    <w:rsid w:val="38DB3B7F"/>
    <w:rsid w:val="39006DF0"/>
    <w:rsid w:val="393E04D7"/>
    <w:rsid w:val="397745E6"/>
    <w:rsid w:val="397D5524"/>
    <w:rsid w:val="39AC3289"/>
    <w:rsid w:val="39BF5C87"/>
    <w:rsid w:val="39C3132F"/>
    <w:rsid w:val="39D85D44"/>
    <w:rsid w:val="39E1193F"/>
    <w:rsid w:val="39FE1F25"/>
    <w:rsid w:val="3A0C5676"/>
    <w:rsid w:val="3A150375"/>
    <w:rsid w:val="3A255F1F"/>
    <w:rsid w:val="3A3F1A10"/>
    <w:rsid w:val="3A4D4BEC"/>
    <w:rsid w:val="3A771515"/>
    <w:rsid w:val="3AC80F27"/>
    <w:rsid w:val="3ACE06B6"/>
    <w:rsid w:val="3B0844F2"/>
    <w:rsid w:val="3B3914C1"/>
    <w:rsid w:val="3BCC3B67"/>
    <w:rsid w:val="3BD26364"/>
    <w:rsid w:val="3BD572AE"/>
    <w:rsid w:val="3BE1204F"/>
    <w:rsid w:val="3C2E3EB4"/>
    <w:rsid w:val="3C405982"/>
    <w:rsid w:val="3C463F7B"/>
    <w:rsid w:val="3C6A39E5"/>
    <w:rsid w:val="3C7D68D2"/>
    <w:rsid w:val="3C856401"/>
    <w:rsid w:val="3C911569"/>
    <w:rsid w:val="3CA176CB"/>
    <w:rsid w:val="3CCE3554"/>
    <w:rsid w:val="3CD01BCB"/>
    <w:rsid w:val="3CDD2875"/>
    <w:rsid w:val="3CE720F3"/>
    <w:rsid w:val="3D6D0413"/>
    <w:rsid w:val="3D917991"/>
    <w:rsid w:val="3DA93DEA"/>
    <w:rsid w:val="3DAB3006"/>
    <w:rsid w:val="3DB0306C"/>
    <w:rsid w:val="3DC71156"/>
    <w:rsid w:val="3DCD3E99"/>
    <w:rsid w:val="3DE1293F"/>
    <w:rsid w:val="3DE436A8"/>
    <w:rsid w:val="3E235A33"/>
    <w:rsid w:val="3E2B1ADD"/>
    <w:rsid w:val="3E677B2F"/>
    <w:rsid w:val="3EB866A3"/>
    <w:rsid w:val="3EDB2FA7"/>
    <w:rsid w:val="3EE622CF"/>
    <w:rsid w:val="3F534207"/>
    <w:rsid w:val="3F842CBF"/>
    <w:rsid w:val="3FD80094"/>
    <w:rsid w:val="3FDF31CE"/>
    <w:rsid w:val="3FDF3517"/>
    <w:rsid w:val="3FF475AC"/>
    <w:rsid w:val="3FFA052C"/>
    <w:rsid w:val="400F1CAB"/>
    <w:rsid w:val="40156B25"/>
    <w:rsid w:val="40B40491"/>
    <w:rsid w:val="40BA5F73"/>
    <w:rsid w:val="40CB0901"/>
    <w:rsid w:val="40D779BC"/>
    <w:rsid w:val="40D86BD9"/>
    <w:rsid w:val="40DE0F6D"/>
    <w:rsid w:val="4104528C"/>
    <w:rsid w:val="410A6447"/>
    <w:rsid w:val="41293FB9"/>
    <w:rsid w:val="4134657E"/>
    <w:rsid w:val="416F5637"/>
    <w:rsid w:val="41807026"/>
    <w:rsid w:val="419C7C18"/>
    <w:rsid w:val="41C45D91"/>
    <w:rsid w:val="41DD29D7"/>
    <w:rsid w:val="41F52071"/>
    <w:rsid w:val="42105B9C"/>
    <w:rsid w:val="42404FE7"/>
    <w:rsid w:val="426C6FBD"/>
    <w:rsid w:val="42824398"/>
    <w:rsid w:val="429369D2"/>
    <w:rsid w:val="429E398D"/>
    <w:rsid w:val="42A34A09"/>
    <w:rsid w:val="42B02EED"/>
    <w:rsid w:val="42BC155D"/>
    <w:rsid w:val="42C24776"/>
    <w:rsid w:val="42D524BB"/>
    <w:rsid w:val="42F62F1A"/>
    <w:rsid w:val="42FB61D0"/>
    <w:rsid w:val="431D113B"/>
    <w:rsid w:val="433528F7"/>
    <w:rsid w:val="43435853"/>
    <w:rsid w:val="435B70D8"/>
    <w:rsid w:val="439F55A2"/>
    <w:rsid w:val="43FA1974"/>
    <w:rsid w:val="43FD7BE5"/>
    <w:rsid w:val="442E034A"/>
    <w:rsid w:val="44336A55"/>
    <w:rsid w:val="443C0ABD"/>
    <w:rsid w:val="44712783"/>
    <w:rsid w:val="44746A0D"/>
    <w:rsid w:val="44AD4344"/>
    <w:rsid w:val="44C608DD"/>
    <w:rsid w:val="44D96D7A"/>
    <w:rsid w:val="44FB13B9"/>
    <w:rsid w:val="44FE1312"/>
    <w:rsid w:val="45282921"/>
    <w:rsid w:val="453550F5"/>
    <w:rsid w:val="4556321B"/>
    <w:rsid w:val="455C3977"/>
    <w:rsid w:val="456319CF"/>
    <w:rsid w:val="456B5F0C"/>
    <w:rsid w:val="458B1F6E"/>
    <w:rsid w:val="45AA3031"/>
    <w:rsid w:val="45DD58C4"/>
    <w:rsid w:val="45F4421D"/>
    <w:rsid w:val="45FE2F2C"/>
    <w:rsid w:val="4609675F"/>
    <w:rsid w:val="460E5185"/>
    <w:rsid w:val="46286422"/>
    <w:rsid w:val="463E1895"/>
    <w:rsid w:val="46431793"/>
    <w:rsid w:val="46455010"/>
    <w:rsid w:val="464D68F6"/>
    <w:rsid w:val="465D5A06"/>
    <w:rsid w:val="46B55326"/>
    <w:rsid w:val="46C0508A"/>
    <w:rsid w:val="470842C5"/>
    <w:rsid w:val="47441109"/>
    <w:rsid w:val="47466EDD"/>
    <w:rsid w:val="47584185"/>
    <w:rsid w:val="478B004A"/>
    <w:rsid w:val="479142E6"/>
    <w:rsid w:val="47D67DB0"/>
    <w:rsid w:val="47FE378F"/>
    <w:rsid w:val="48081A5C"/>
    <w:rsid w:val="4825393F"/>
    <w:rsid w:val="48636916"/>
    <w:rsid w:val="487F38AF"/>
    <w:rsid w:val="48961BCF"/>
    <w:rsid w:val="48B13C0E"/>
    <w:rsid w:val="48C8727B"/>
    <w:rsid w:val="48DA2052"/>
    <w:rsid w:val="48DF352C"/>
    <w:rsid w:val="48FB35CD"/>
    <w:rsid w:val="490005BB"/>
    <w:rsid w:val="494A63BF"/>
    <w:rsid w:val="4958727D"/>
    <w:rsid w:val="496527CC"/>
    <w:rsid w:val="49677092"/>
    <w:rsid w:val="4970377D"/>
    <w:rsid w:val="49986806"/>
    <w:rsid w:val="49B52B52"/>
    <w:rsid w:val="49C12174"/>
    <w:rsid w:val="49D14B4A"/>
    <w:rsid w:val="49D16565"/>
    <w:rsid w:val="49DE0ED4"/>
    <w:rsid w:val="49F10E21"/>
    <w:rsid w:val="4A1960DA"/>
    <w:rsid w:val="4A2A4390"/>
    <w:rsid w:val="4A7B328D"/>
    <w:rsid w:val="4AA260F6"/>
    <w:rsid w:val="4AAC58B4"/>
    <w:rsid w:val="4AB72202"/>
    <w:rsid w:val="4ADF7781"/>
    <w:rsid w:val="4AF92A3C"/>
    <w:rsid w:val="4B064BED"/>
    <w:rsid w:val="4B2801B2"/>
    <w:rsid w:val="4B76469F"/>
    <w:rsid w:val="4B78340C"/>
    <w:rsid w:val="4B7C4656"/>
    <w:rsid w:val="4B8062B8"/>
    <w:rsid w:val="4B8A2C0B"/>
    <w:rsid w:val="4BB25028"/>
    <w:rsid w:val="4BB748A0"/>
    <w:rsid w:val="4BE36A05"/>
    <w:rsid w:val="4C257D18"/>
    <w:rsid w:val="4C3A1ECB"/>
    <w:rsid w:val="4C6417CE"/>
    <w:rsid w:val="4C6A7B7F"/>
    <w:rsid w:val="4C830E76"/>
    <w:rsid w:val="4CC077D8"/>
    <w:rsid w:val="4CCF50F1"/>
    <w:rsid w:val="4CDC5777"/>
    <w:rsid w:val="4CF42226"/>
    <w:rsid w:val="4CFB41AE"/>
    <w:rsid w:val="4D0416F3"/>
    <w:rsid w:val="4D043D44"/>
    <w:rsid w:val="4D484A39"/>
    <w:rsid w:val="4D9D75A4"/>
    <w:rsid w:val="4DBE4A97"/>
    <w:rsid w:val="4DC728B0"/>
    <w:rsid w:val="4DE2356A"/>
    <w:rsid w:val="4E095DAC"/>
    <w:rsid w:val="4E155E32"/>
    <w:rsid w:val="4E224515"/>
    <w:rsid w:val="4E2346B4"/>
    <w:rsid w:val="4E362987"/>
    <w:rsid w:val="4E3E1BDF"/>
    <w:rsid w:val="4E725695"/>
    <w:rsid w:val="4E7F2DFE"/>
    <w:rsid w:val="4EA25ECB"/>
    <w:rsid w:val="4EA326C6"/>
    <w:rsid w:val="4EA73398"/>
    <w:rsid w:val="4EB14420"/>
    <w:rsid w:val="4F0A177D"/>
    <w:rsid w:val="4F2E73FB"/>
    <w:rsid w:val="4F3A703B"/>
    <w:rsid w:val="4F502C20"/>
    <w:rsid w:val="4FAA1721"/>
    <w:rsid w:val="4FC66487"/>
    <w:rsid w:val="4FF67453"/>
    <w:rsid w:val="50306E00"/>
    <w:rsid w:val="504E0535"/>
    <w:rsid w:val="50642D32"/>
    <w:rsid w:val="50682DFC"/>
    <w:rsid w:val="506F2384"/>
    <w:rsid w:val="50991D50"/>
    <w:rsid w:val="511C088A"/>
    <w:rsid w:val="511D1A8E"/>
    <w:rsid w:val="514B52B9"/>
    <w:rsid w:val="51576E88"/>
    <w:rsid w:val="51802346"/>
    <w:rsid w:val="51E90DCA"/>
    <w:rsid w:val="525548DE"/>
    <w:rsid w:val="525E2122"/>
    <w:rsid w:val="52750191"/>
    <w:rsid w:val="52AC6CBE"/>
    <w:rsid w:val="52C6327E"/>
    <w:rsid w:val="52C67E50"/>
    <w:rsid w:val="52C83F39"/>
    <w:rsid w:val="52E03B1A"/>
    <w:rsid w:val="532A56D9"/>
    <w:rsid w:val="532D4EA3"/>
    <w:rsid w:val="53E96E1E"/>
    <w:rsid w:val="53FE49D0"/>
    <w:rsid w:val="54061889"/>
    <w:rsid w:val="547A6EB5"/>
    <w:rsid w:val="54AA6DA6"/>
    <w:rsid w:val="5503676C"/>
    <w:rsid w:val="554051DB"/>
    <w:rsid w:val="555B2221"/>
    <w:rsid w:val="55903F51"/>
    <w:rsid w:val="559247BB"/>
    <w:rsid w:val="55A55C8C"/>
    <w:rsid w:val="55A85B89"/>
    <w:rsid w:val="55D80630"/>
    <w:rsid w:val="55EB2BD4"/>
    <w:rsid w:val="55EE6584"/>
    <w:rsid w:val="561C48D2"/>
    <w:rsid w:val="563B2B2D"/>
    <w:rsid w:val="565505BE"/>
    <w:rsid w:val="56A1384F"/>
    <w:rsid w:val="56C62216"/>
    <w:rsid w:val="56FB4A03"/>
    <w:rsid w:val="570647C5"/>
    <w:rsid w:val="571462E2"/>
    <w:rsid w:val="5719704B"/>
    <w:rsid w:val="57244D37"/>
    <w:rsid w:val="575F2A98"/>
    <w:rsid w:val="579920BA"/>
    <w:rsid w:val="579E5B59"/>
    <w:rsid w:val="57A8179D"/>
    <w:rsid w:val="57F161FA"/>
    <w:rsid w:val="57F35D62"/>
    <w:rsid w:val="580962E4"/>
    <w:rsid w:val="582A5F9D"/>
    <w:rsid w:val="58487A15"/>
    <w:rsid w:val="585856E8"/>
    <w:rsid w:val="58946E37"/>
    <w:rsid w:val="58BA55C9"/>
    <w:rsid w:val="58EA34CC"/>
    <w:rsid w:val="58EC799B"/>
    <w:rsid w:val="59310AC7"/>
    <w:rsid w:val="594B573D"/>
    <w:rsid w:val="59514274"/>
    <w:rsid w:val="59850DD7"/>
    <w:rsid w:val="599529F7"/>
    <w:rsid w:val="59C3365A"/>
    <w:rsid w:val="59CA62C0"/>
    <w:rsid w:val="59EB0EC3"/>
    <w:rsid w:val="59F03427"/>
    <w:rsid w:val="5A260914"/>
    <w:rsid w:val="5A4C58B3"/>
    <w:rsid w:val="5A4E50CF"/>
    <w:rsid w:val="5A582054"/>
    <w:rsid w:val="5A7F604C"/>
    <w:rsid w:val="5AE8416D"/>
    <w:rsid w:val="5B137E85"/>
    <w:rsid w:val="5B192EB3"/>
    <w:rsid w:val="5B1D609F"/>
    <w:rsid w:val="5B226AFE"/>
    <w:rsid w:val="5B4B41BF"/>
    <w:rsid w:val="5B817139"/>
    <w:rsid w:val="5BB15961"/>
    <w:rsid w:val="5BB40D02"/>
    <w:rsid w:val="5BDA0F62"/>
    <w:rsid w:val="5BE665A4"/>
    <w:rsid w:val="5BF62679"/>
    <w:rsid w:val="5C461F8E"/>
    <w:rsid w:val="5C7E5B72"/>
    <w:rsid w:val="5C837CD1"/>
    <w:rsid w:val="5CAC0238"/>
    <w:rsid w:val="5CD33022"/>
    <w:rsid w:val="5CE92594"/>
    <w:rsid w:val="5D190100"/>
    <w:rsid w:val="5D583991"/>
    <w:rsid w:val="5D5D4E82"/>
    <w:rsid w:val="5D8A3460"/>
    <w:rsid w:val="5D9C5300"/>
    <w:rsid w:val="5DAA397B"/>
    <w:rsid w:val="5E377524"/>
    <w:rsid w:val="5F150571"/>
    <w:rsid w:val="5F23029C"/>
    <w:rsid w:val="5F5439FC"/>
    <w:rsid w:val="5F982947"/>
    <w:rsid w:val="5FA42331"/>
    <w:rsid w:val="5FB13F05"/>
    <w:rsid w:val="5FDD1B5E"/>
    <w:rsid w:val="5FE50922"/>
    <w:rsid w:val="5FF42B08"/>
    <w:rsid w:val="5FF666A1"/>
    <w:rsid w:val="60282690"/>
    <w:rsid w:val="60406A91"/>
    <w:rsid w:val="607362F5"/>
    <w:rsid w:val="60756AB7"/>
    <w:rsid w:val="60767259"/>
    <w:rsid w:val="609A1B14"/>
    <w:rsid w:val="61190D87"/>
    <w:rsid w:val="61453B76"/>
    <w:rsid w:val="6147590F"/>
    <w:rsid w:val="614A6165"/>
    <w:rsid w:val="614B0C21"/>
    <w:rsid w:val="616272A6"/>
    <w:rsid w:val="617C60A1"/>
    <w:rsid w:val="619A3961"/>
    <w:rsid w:val="619F2C42"/>
    <w:rsid w:val="61A74404"/>
    <w:rsid w:val="61D613C4"/>
    <w:rsid w:val="61EA2DCE"/>
    <w:rsid w:val="621A4EA5"/>
    <w:rsid w:val="62502334"/>
    <w:rsid w:val="62720EE7"/>
    <w:rsid w:val="629D1926"/>
    <w:rsid w:val="62C00D20"/>
    <w:rsid w:val="62C83EE1"/>
    <w:rsid w:val="62D922FF"/>
    <w:rsid w:val="62FB3C0C"/>
    <w:rsid w:val="631332E4"/>
    <w:rsid w:val="63210B28"/>
    <w:rsid w:val="634B0FFF"/>
    <w:rsid w:val="63790D3D"/>
    <w:rsid w:val="63AB5E56"/>
    <w:rsid w:val="64186E76"/>
    <w:rsid w:val="641F2A76"/>
    <w:rsid w:val="642B1AE2"/>
    <w:rsid w:val="6448020B"/>
    <w:rsid w:val="645E71D9"/>
    <w:rsid w:val="646161E2"/>
    <w:rsid w:val="646839B4"/>
    <w:rsid w:val="64C40161"/>
    <w:rsid w:val="653C4D06"/>
    <w:rsid w:val="654E0E70"/>
    <w:rsid w:val="65592E70"/>
    <w:rsid w:val="658378A2"/>
    <w:rsid w:val="65943222"/>
    <w:rsid w:val="65C627AC"/>
    <w:rsid w:val="661A34C7"/>
    <w:rsid w:val="66290FDD"/>
    <w:rsid w:val="663558D2"/>
    <w:rsid w:val="66376C16"/>
    <w:rsid w:val="664D18E7"/>
    <w:rsid w:val="66685192"/>
    <w:rsid w:val="6674699E"/>
    <w:rsid w:val="66D96D67"/>
    <w:rsid w:val="66EC7606"/>
    <w:rsid w:val="67286C59"/>
    <w:rsid w:val="67320B7B"/>
    <w:rsid w:val="675F5188"/>
    <w:rsid w:val="67726D17"/>
    <w:rsid w:val="677814F4"/>
    <w:rsid w:val="677D45F7"/>
    <w:rsid w:val="678460AE"/>
    <w:rsid w:val="678C444A"/>
    <w:rsid w:val="678F5CA5"/>
    <w:rsid w:val="679F3D14"/>
    <w:rsid w:val="67C8377B"/>
    <w:rsid w:val="67EA3A52"/>
    <w:rsid w:val="67FF0423"/>
    <w:rsid w:val="68110DD7"/>
    <w:rsid w:val="681841CE"/>
    <w:rsid w:val="684F6239"/>
    <w:rsid w:val="6863301D"/>
    <w:rsid w:val="68685E5D"/>
    <w:rsid w:val="68992624"/>
    <w:rsid w:val="689A6875"/>
    <w:rsid w:val="68B8322B"/>
    <w:rsid w:val="68C47744"/>
    <w:rsid w:val="690862C7"/>
    <w:rsid w:val="69152E06"/>
    <w:rsid w:val="693A5A6B"/>
    <w:rsid w:val="694A112E"/>
    <w:rsid w:val="6983491B"/>
    <w:rsid w:val="69882900"/>
    <w:rsid w:val="6990796E"/>
    <w:rsid w:val="699B6313"/>
    <w:rsid w:val="69C60974"/>
    <w:rsid w:val="69E07667"/>
    <w:rsid w:val="6A097B6E"/>
    <w:rsid w:val="6A3310B4"/>
    <w:rsid w:val="6A422DC6"/>
    <w:rsid w:val="6A665585"/>
    <w:rsid w:val="6A670C5A"/>
    <w:rsid w:val="6AB159AF"/>
    <w:rsid w:val="6B04086F"/>
    <w:rsid w:val="6B2D1A5E"/>
    <w:rsid w:val="6B3D0DE6"/>
    <w:rsid w:val="6B530E50"/>
    <w:rsid w:val="6B557232"/>
    <w:rsid w:val="6B5B32B6"/>
    <w:rsid w:val="6B6E5072"/>
    <w:rsid w:val="6B6E5ED0"/>
    <w:rsid w:val="6B7314FA"/>
    <w:rsid w:val="6B760AEF"/>
    <w:rsid w:val="6B774D2D"/>
    <w:rsid w:val="6B7E7FF8"/>
    <w:rsid w:val="6BA4758F"/>
    <w:rsid w:val="6BA648F1"/>
    <w:rsid w:val="6BD703FC"/>
    <w:rsid w:val="6BEB468C"/>
    <w:rsid w:val="6BF031C7"/>
    <w:rsid w:val="6C0302A3"/>
    <w:rsid w:val="6C201434"/>
    <w:rsid w:val="6C345E65"/>
    <w:rsid w:val="6C862EBD"/>
    <w:rsid w:val="6C980E98"/>
    <w:rsid w:val="6C993B54"/>
    <w:rsid w:val="6CB17EE6"/>
    <w:rsid w:val="6CEF213D"/>
    <w:rsid w:val="6CF5088C"/>
    <w:rsid w:val="6D004253"/>
    <w:rsid w:val="6D006398"/>
    <w:rsid w:val="6D040FDE"/>
    <w:rsid w:val="6D407830"/>
    <w:rsid w:val="6D4873DB"/>
    <w:rsid w:val="6D5160ED"/>
    <w:rsid w:val="6D5EE3AE"/>
    <w:rsid w:val="6D720A1E"/>
    <w:rsid w:val="6DB42C45"/>
    <w:rsid w:val="6DD476FD"/>
    <w:rsid w:val="6DE0754B"/>
    <w:rsid w:val="6E327A74"/>
    <w:rsid w:val="6EBC3ED9"/>
    <w:rsid w:val="6ECE6E91"/>
    <w:rsid w:val="6ED14FD4"/>
    <w:rsid w:val="6ED46B02"/>
    <w:rsid w:val="6EE227C4"/>
    <w:rsid w:val="6EE40EB7"/>
    <w:rsid w:val="6EEC126E"/>
    <w:rsid w:val="6F2222E1"/>
    <w:rsid w:val="6F8B7A59"/>
    <w:rsid w:val="6F8E7693"/>
    <w:rsid w:val="6F8F5D67"/>
    <w:rsid w:val="6FB62C60"/>
    <w:rsid w:val="6FCB5164"/>
    <w:rsid w:val="6FD76534"/>
    <w:rsid w:val="6FE54F09"/>
    <w:rsid w:val="6FFB5987"/>
    <w:rsid w:val="70007CDD"/>
    <w:rsid w:val="702623B8"/>
    <w:rsid w:val="703E7493"/>
    <w:rsid w:val="7051525C"/>
    <w:rsid w:val="70593C56"/>
    <w:rsid w:val="705E4225"/>
    <w:rsid w:val="70704A34"/>
    <w:rsid w:val="709E6F15"/>
    <w:rsid w:val="70B10147"/>
    <w:rsid w:val="70BE77FD"/>
    <w:rsid w:val="7119717B"/>
    <w:rsid w:val="71303747"/>
    <w:rsid w:val="716A58AC"/>
    <w:rsid w:val="71703829"/>
    <w:rsid w:val="718E5E7D"/>
    <w:rsid w:val="719406B1"/>
    <w:rsid w:val="71F37F1F"/>
    <w:rsid w:val="71FF4BAD"/>
    <w:rsid w:val="721F2349"/>
    <w:rsid w:val="722043A1"/>
    <w:rsid w:val="72412D23"/>
    <w:rsid w:val="724B0712"/>
    <w:rsid w:val="7263624B"/>
    <w:rsid w:val="7269492D"/>
    <w:rsid w:val="727D5103"/>
    <w:rsid w:val="7282173A"/>
    <w:rsid w:val="72827BC9"/>
    <w:rsid w:val="728C1F2A"/>
    <w:rsid w:val="72C90A93"/>
    <w:rsid w:val="72CF2491"/>
    <w:rsid w:val="730D0B63"/>
    <w:rsid w:val="734B2264"/>
    <w:rsid w:val="73523D29"/>
    <w:rsid w:val="737D5416"/>
    <w:rsid w:val="7387784A"/>
    <w:rsid w:val="738917F7"/>
    <w:rsid w:val="740F7903"/>
    <w:rsid w:val="741807C4"/>
    <w:rsid w:val="74341494"/>
    <w:rsid w:val="7485745A"/>
    <w:rsid w:val="748E5925"/>
    <w:rsid w:val="74CE4F88"/>
    <w:rsid w:val="74D26137"/>
    <w:rsid w:val="74D31542"/>
    <w:rsid w:val="74F8295D"/>
    <w:rsid w:val="75056EFA"/>
    <w:rsid w:val="75411712"/>
    <w:rsid w:val="75505F27"/>
    <w:rsid w:val="755E4F8D"/>
    <w:rsid w:val="758B1DEE"/>
    <w:rsid w:val="75914800"/>
    <w:rsid w:val="75D35057"/>
    <w:rsid w:val="75EA684A"/>
    <w:rsid w:val="76195E9E"/>
    <w:rsid w:val="761E1126"/>
    <w:rsid w:val="76231CD8"/>
    <w:rsid w:val="762F214F"/>
    <w:rsid w:val="76311383"/>
    <w:rsid w:val="763415AF"/>
    <w:rsid w:val="765738EC"/>
    <w:rsid w:val="76624F25"/>
    <w:rsid w:val="76834BEF"/>
    <w:rsid w:val="76BC52A9"/>
    <w:rsid w:val="76C823C5"/>
    <w:rsid w:val="76F811E5"/>
    <w:rsid w:val="772D4A6C"/>
    <w:rsid w:val="774078A7"/>
    <w:rsid w:val="77594CFE"/>
    <w:rsid w:val="7768379F"/>
    <w:rsid w:val="777640BA"/>
    <w:rsid w:val="77AE62AE"/>
    <w:rsid w:val="77B12684"/>
    <w:rsid w:val="77D1502D"/>
    <w:rsid w:val="77E5468C"/>
    <w:rsid w:val="77E75086"/>
    <w:rsid w:val="780D15E1"/>
    <w:rsid w:val="78780662"/>
    <w:rsid w:val="7879773E"/>
    <w:rsid w:val="787A4590"/>
    <w:rsid w:val="78B967E7"/>
    <w:rsid w:val="78EB083D"/>
    <w:rsid w:val="78EC2AD3"/>
    <w:rsid w:val="790C7100"/>
    <w:rsid w:val="79387F74"/>
    <w:rsid w:val="794457D2"/>
    <w:rsid w:val="79630D3A"/>
    <w:rsid w:val="796C4C12"/>
    <w:rsid w:val="79F00BA0"/>
    <w:rsid w:val="79F03884"/>
    <w:rsid w:val="79FF7039"/>
    <w:rsid w:val="7A1F475A"/>
    <w:rsid w:val="7A246D3D"/>
    <w:rsid w:val="7A334D42"/>
    <w:rsid w:val="7A632EB9"/>
    <w:rsid w:val="7A992B9D"/>
    <w:rsid w:val="7AB60D00"/>
    <w:rsid w:val="7AB9122F"/>
    <w:rsid w:val="7ADA2701"/>
    <w:rsid w:val="7B340ACE"/>
    <w:rsid w:val="7B420725"/>
    <w:rsid w:val="7B482B38"/>
    <w:rsid w:val="7B4F1D23"/>
    <w:rsid w:val="7B5271AE"/>
    <w:rsid w:val="7BA42E5D"/>
    <w:rsid w:val="7BAA5406"/>
    <w:rsid w:val="7BBE4965"/>
    <w:rsid w:val="7BC73605"/>
    <w:rsid w:val="7BD22FF1"/>
    <w:rsid w:val="7BFC7916"/>
    <w:rsid w:val="7C0B2467"/>
    <w:rsid w:val="7C4C4655"/>
    <w:rsid w:val="7C5542CD"/>
    <w:rsid w:val="7C5863E1"/>
    <w:rsid w:val="7C92006F"/>
    <w:rsid w:val="7CB54DB6"/>
    <w:rsid w:val="7CD95D02"/>
    <w:rsid w:val="7CF14D5D"/>
    <w:rsid w:val="7D197934"/>
    <w:rsid w:val="7D2D0EB7"/>
    <w:rsid w:val="7D325214"/>
    <w:rsid w:val="7D701E72"/>
    <w:rsid w:val="7DA422E1"/>
    <w:rsid w:val="7DF70196"/>
    <w:rsid w:val="7E25E9E2"/>
    <w:rsid w:val="7E3A6A66"/>
    <w:rsid w:val="7E44606F"/>
    <w:rsid w:val="7E5D0AD2"/>
    <w:rsid w:val="7E6F2F71"/>
    <w:rsid w:val="7E705DF3"/>
    <w:rsid w:val="7E8B5D4E"/>
    <w:rsid w:val="7ED874C8"/>
    <w:rsid w:val="7EE85D1D"/>
    <w:rsid w:val="7EED428D"/>
    <w:rsid w:val="7EF0594B"/>
    <w:rsid w:val="7F0D1F06"/>
    <w:rsid w:val="7F0D2F06"/>
    <w:rsid w:val="7F19491C"/>
    <w:rsid w:val="7F226503"/>
    <w:rsid w:val="7F534EFB"/>
    <w:rsid w:val="7F611C31"/>
    <w:rsid w:val="7F622118"/>
    <w:rsid w:val="7F701FAF"/>
    <w:rsid w:val="7FA514BB"/>
    <w:rsid w:val="7FBE6211"/>
    <w:rsid w:val="7FCC3F8A"/>
    <w:rsid w:val="7FF22E4A"/>
    <w:rsid w:val="7FF7A70A"/>
    <w:rsid w:val="AFDB1331"/>
    <w:rsid w:val="BEDBEF35"/>
    <w:rsid w:val="D9FD5D10"/>
    <w:rsid w:val="E66D0587"/>
    <w:rsid w:val="ECFF021A"/>
    <w:rsid w:val="EFBEC1C9"/>
    <w:rsid w:val="F95BD1B4"/>
    <w:rsid w:val="FEBBBB73"/>
    <w:rsid w:val="FF4F27EE"/>
    <w:rsid w:val="FF7C8A54"/>
    <w:rsid w:val="FFB977CF"/>
    <w:rsid w:val="FFDA1D12"/>
    <w:rsid w:val="FFEF9C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tLeast"/>
      <w:outlineLvl w:val="0"/>
    </w:pPr>
    <w:rPr>
      <w:b/>
      <w:bCs/>
      <w:kern w:val="44"/>
      <w:sz w:val="44"/>
      <w:szCs w:val="44"/>
    </w:rPr>
  </w:style>
  <w:style w:type="paragraph" w:styleId="4">
    <w:name w:val="heading 2"/>
    <w:basedOn w:val="1"/>
    <w:next w:val="1"/>
    <w:link w:val="20"/>
    <w:qFormat/>
    <w:uiPriority w:val="0"/>
    <w:pPr>
      <w:spacing w:beforeLines="100" w:line="560" w:lineRule="exact"/>
      <w:ind w:left="-160" w:leftChars="-50" w:firstLine="964" w:firstLineChars="200"/>
      <w:outlineLvl w:val="1"/>
    </w:pPr>
    <w:rPr>
      <w:rFonts w:ascii="黑体" w:hAnsi="黑体" w:eastAsia="黑体"/>
      <w:bCs/>
      <w:color w:val="000000"/>
      <w:kern w:val="0"/>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5">
    <w:name w:val="Normal Indent"/>
    <w:basedOn w:val="1"/>
    <w:qFormat/>
    <w:uiPriority w:val="99"/>
    <w:pPr>
      <w:ind w:firstLine="200" w:firstLineChars="200"/>
    </w:pPr>
    <w:rPr>
      <w:rFonts w:ascii="??" w:hAnsi="??"/>
      <w:sz w:val="28"/>
    </w:rPr>
  </w:style>
  <w:style w:type="paragraph" w:styleId="6">
    <w:name w:val="toa heading"/>
    <w:basedOn w:val="1"/>
    <w:next w:val="1"/>
    <w:qFormat/>
    <w:uiPriority w:val="0"/>
    <w:pPr>
      <w:spacing w:before="120"/>
    </w:pPr>
    <w:rPr>
      <w:rFonts w:ascii="Cambria" w:hAnsi="Cambria"/>
      <w:sz w:val="24"/>
    </w:rPr>
  </w:style>
  <w:style w:type="paragraph" w:styleId="7">
    <w:name w:val="Body Text"/>
    <w:basedOn w:val="1"/>
    <w:next w:val="8"/>
    <w:link w:val="25"/>
    <w:qFormat/>
    <w:uiPriority w:val="0"/>
    <w:pPr>
      <w:spacing w:after="120"/>
    </w:pPr>
  </w:style>
  <w:style w:type="paragraph" w:styleId="8">
    <w:name w:val="toc 5"/>
    <w:basedOn w:val="1"/>
    <w:next w:val="1"/>
    <w:qFormat/>
    <w:uiPriority w:val="0"/>
    <w:pPr>
      <w:ind w:left="1680"/>
    </w:pPr>
  </w:style>
  <w:style w:type="paragraph" w:styleId="9">
    <w:name w:val="Plain Text"/>
    <w:basedOn w:val="1"/>
    <w:qFormat/>
    <w:uiPriority w:val="99"/>
    <w:rPr>
      <w:rFonts w:ascii="宋体" w:hAnsi="宋体" w:cs="宋体"/>
      <w:kern w:val="1"/>
    </w:rPr>
  </w:style>
  <w:style w:type="paragraph" w:styleId="10">
    <w:name w:val="footer"/>
    <w:basedOn w:val="1"/>
    <w:link w:val="27"/>
    <w:unhideWhenUsed/>
    <w:qFormat/>
    <w:uiPriority w:val="99"/>
    <w:pPr>
      <w:tabs>
        <w:tab w:val="center" w:pos="4153"/>
        <w:tab w:val="right" w:pos="8306"/>
      </w:tabs>
      <w:snapToGrid w:val="0"/>
      <w:jc w:val="left"/>
    </w:pPr>
    <w:rPr>
      <w:sz w:val="18"/>
    </w:rPr>
  </w:style>
  <w:style w:type="paragraph" w:styleId="11">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Body Text First Indent"/>
    <w:basedOn w:val="7"/>
    <w:link w:val="26"/>
    <w:semiHidden/>
    <w:unhideWhenUsed/>
    <w:qFormat/>
    <w:uiPriority w:val="99"/>
    <w:pPr>
      <w:ind w:firstLine="420" w:firstLineChars="1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Strong"/>
    <w:qFormat/>
    <w:uiPriority w:val="0"/>
    <w:rPr>
      <w:b/>
      <w:bCs/>
    </w:rPr>
  </w:style>
  <w:style w:type="character" w:styleId="18">
    <w:name w:val="page number"/>
    <w:basedOn w:val="16"/>
    <w:qFormat/>
    <w:uiPriority w:val="0"/>
  </w:style>
  <w:style w:type="paragraph" w:customStyle="1" w:styleId="19">
    <w:name w:val="Normal Indent1"/>
    <w:basedOn w:val="1"/>
    <w:qFormat/>
    <w:uiPriority w:val="99"/>
    <w:pPr>
      <w:ind w:firstLine="420" w:firstLineChars="200"/>
    </w:pPr>
  </w:style>
  <w:style w:type="character" w:customStyle="1" w:styleId="20">
    <w:name w:val="标题 2 Char"/>
    <w:link w:val="4"/>
    <w:qFormat/>
    <w:uiPriority w:val="0"/>
    <w:rPr>
      <w:rFonts w:ascii="黑体" w:hAnsi="黑体" w:eastAsia="黑体"/>
      <w:bCs/>
      <w:color w:val="000000"/>
      <w:kern w:val="0"/>
      <w:sz w:val="30"/>
      <w:szCs w:val="30"/>
    </w:rPr>
  </w:style>
  <w:style w:type="paragraph" w:customStyle="1" w:styleId="21">
    <w:name w:val="Char Char Char Char Char Char Char"/>
    <w:basedOn w:val="1"/>
    <w:qFormat/>
    <w:uiPriority w:val="0"/>
    <w:rPr>
      <w:rFonts w:ascii="Times New Roman" w:hAnsi="Times New Roman"/>
    </w:rPr>
  </w:style>
  <w:style w:type="character" w:customStyle="1" w:styleId="22">
    <w:name w:val="NormalCharacter"/>
    <w:semiHidden/>
    <w:qFormat/>
    <w:uiPriority w:val="0"/>
  </w:style>
  <w:style w:type="paragraph" w:customStyle="1" w:styleId="23">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24">
    <w:name w:val="网格型1"/>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正文文本 Char"/>
    <w:basedOn w:val="16"/>
    <w:link w:val="7"/>
    <w:qFormat/>
    <w:uiPriority w:val="0"/>
    <w:rPr>
      <w:rFonts w:ascii="Calibri" w:hAnsi="Calibri"/>
      <w:kern w:val="2"/>
      <w:sz w:val="21"/>
      <w:szCs w:val="24"/>
    </w:rPr>
  </w:style>
  <w:style w:type="character" w:customStyle="1" w:styleId="26">
    <w:name w:val="正文首行缩进 Char"/>
    <w:basedOn w:val="25"/>
    <w:link w:val="13"/>
    <w:qFormat/>
    <w:uiPriority w:val="0"/>
  </w:style>
  <w:style w:type="character" w:customStyle="1" w:styleId="27">
    <w:name w:val="页脚 Char"/>
    <w:basedOn w:val="16"/>
    <w:link w:val="10"/>
    <w:qFormat/>
    <w:uiPriority w:val="99"/>
    <w:rPr>
      <w:rFonts w:ascii="Calibri" w:hAnsi="Calibri"/>
      <w:kern w:val="2"/>
      <w:sz w:val="18"/>
      <w:szCs w:val="24"/>
    </w:rPr>
  </w:style>
  <w:style w:type="paragraph" w:customStyle="1" w:styleId="28">
    <w:name w:val="正文-公1"/>
    <w:basedOn w:val="1"/>
    <w:qFormat/>
    <w:uiPriority w:val="0"/>
    <w:rPr>
      <w:rFonts w:cs="宋体"/>
      <w:szCs w:val="21"/>
    </w:rPr>
  </w:style>
  <w:style w:type="paragraph" w:customStyle="1" w:styleId="29">
    <w:name w:val="Table Paragraph"/>
    <w:basedOn w:val="1"/>
    <w:qFormat/>
    <w:uiPriority w:val="0"/>
    <w:pPr>
      <w:spacing w:before="100" w:beforeAutospacing="1" w:after="100" w:afterAutospacing="1"/>
      <w:ind w:left="107"/>
    </w:pPr>
    <w:rPr>
      <w:rFonts w:ascii="WenQuanYi Micro Hei" w:hAnsi="WenQuanYi Micro Hei" w:cs="宋体"/>
      <w:szCs w:val="21"/>
    </w:rPr>
  </w:style>
  <w:style w:type="character" w:customStyle="1" w:styleId="30">
    <w:name w:val="15"/>
    <w:basedOn w:val="16"/>
    <w:qFormat/>
    <w:uiPriority w:val="0"/>
    <w:rPr>
      <w:rFonts w:hint="default" w:ascii="Calibri" w:hAnsi="Calibri"/>
      <w:b/>
      <w:bCs/>
      <w:kern w:val="44"/>
      <w:sz w:val="44"/>
      <w:szCs w:val="44"/>
    </w:rPr>
  </w:style>
  <w:style w:type="character" w:customStyle="1" w:styleId="31">
    <w:name w:val="16"/>
    <w:basedOn w:val="16"/>
    <w:qFormat/>
    <w:uiPriority w:val="0"/>
    <w:rPr>
      <w:rFonts w:hint="default" w:ascii="WenQuanYi Micro Hei" w:hAnsi="WenQuanYi Micro Hei" w:eastAsia="宋体" w:cs="宋体"/>
      <w:sz w:val="32"/>
      <w:szCs w:val="32"/>
    </w:rPr>
  </w:style>
  <w:style w:type="character" w:customStyle="1" w:styleId="32">
    <w:name w:val="17"/>
    <w:basedOn w:val="16"/>
    <w:qFormat/>
    <w:uiPriority w:val="0"/>
    <w:rPr>
      <w:rFonts w:hint="default" w:ascii="Calibri" w:hAnsi="Calibri" w:eastAsia="宋体" w:cs="宋体"/>
      <w:kern w:val="2"/>
      <w:sz w:val="21"/>
      <w:szCs w:val="21"/>
    </w:rPr>
  </w:style>
  <w:style w:type="paragraph" w:customStyle="1" w:styleId="33">
    <w:name w:val="Body Text First Indent 21"/>
    <w:basedOn w:val="1"/>
    <w:semiHidden/>
    <w:qFormat/>
    <w:uiPriority w:val="0"/>
    <w:pPr>
      <w:spacing w:before="100" w:beforeAutospacing="1" w:after="100" w:afterAutospacing="1"/>
      <w:ind w:left="200" w:leftChars="200" w:firstLine="420"/>
    </w:pPr>
    <w:rPr>
      <w:rFonts w:eastAsia="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3222</Words>
  <Characters>18369</Characters>
  <Lines>153</Lines>
  <Paragraphs>43</Paragraphs>
  <TotalTime>21</TotalTime>
  <ScaleCrop>false</ScaleCrop>
  <LinksUpToDate>false</LinksUpToDate>
  <CharactersWithSpaces>21548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2020-12-31T03:50:00Z</dcterms:created>
  <dc:creator>XTZJ</dc:creator>
  <cp:lastModifiedBy>刘玲</cp:lastModifiedBy>
  <cp:lastPrinted>2021-04-23T00:49:00Z</cp:lastPrinted>
  <dcterms:modified xsi:type="dcterms:W3CDTF">2022-12-05T03:33:19Z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241250386_cloud</vt:lpwstr>
  </property>
  <property fmtid="{D5CDD505-2E9C-101B-9397-08002B2CF9AE}" pid="4" name="ICV">
    <vt:lpwstr>3B7A2FB2AEA54F218631BDD1D2731952</vt:lpwstr>
  </property>
</Properties>
</file>