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color w:val="000000" w:themeColor="text1"/>
          <w:sz w:val="52"/>
          <w:szCs w:val="52"/>
          <w14:textFill>
            <w14:solidFill>
              <w14:schemeClr w14:val="tx1"/>
            </w14:solidFill>
          </w14:textFill>
        </w:rPr>
      </w:pPr>
    </w:p>
    <w:p>
      <w:pPr>
        <w:jc w:val="center"/>
        <w:rPr>
          <w:rFonts w:hint="eastAsia" w:ascii="方正小标宋简体" w:hAnsi="方正小标宋简体" w:eastAsia="方正小标宋简体" w:cs="方正小标宋简体"/>
          <w:b w:val="0"/>
          <w:bCs w:val="0"/>
          <w:color w:val="000000" w:themeColor="text1"/>
          <w:sz w:val="52"/>
          <w:szCs w:val="52"/>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52"/>
          <w:szCs w:val="52"/>
          <w14:textFill>
            <w14:solidFill>
              <w14:schemeClr w14:val="tx1"/>
            </w14:solidFill>
          </w14:textFill>
        </w:rPr>
        <w:t>元谋县“十四五”林业</w:t>
      </w:r>
      <w:r>
        <w:rPr>
          <w:rFonts w:hint="eastAsia" w:ascii="方正小标宋简体" w:hAnsi="方正小标宋简体" w:eastAsia="方正小标宋简体" w:cs="方正小标宋简体"/>
          <w:b w:val="0"/>
          <w:bCs w:val="0"/>
          <w:color w:val="000000" w:themeColor="text1"/>
          <w:sz w:val="52"/>
          <w:szCs w:val="52"/>
          <w:lang w:val="en-US" w:eastAsia="zh-CN"/>
          <w14:textFill>
            <w14:solidFill>
              <w14:schemeClr w14:val="tx1"/>
            </w14:solidFill>
          </w14:textFill>
        </w:rPr>
        <w:t>和</w:t>
      </w:r>
      <w:r>
        <w:rPr>
          <w:rFonts w:hint="eastAsia" w:ascii="方正小标宋简体" w:hAnsi="方正小标宋简体" w:eastAsia="方正小标宋简体" w:cs="方正小标宋简体"/>
          <w:b w:val="0"/>
          <w:bCs w:val="0"/>
          <w:color w:val="000000" w:themeColor="text1"/>
          <w:sz w:val="52"/>
          <w:szCs w:val="52"/>
          <w14:textFill>
            <w14:solidFill>
              <w14:schemeClr w14:val="tx1"/>
            </w14:solidFill>
          </w14:textFill>
        </w:rPr>
        <w:t>草原</w:t>
      </w:r>
    </w:p>
    <w:p>
      <w:pPr>
        <w:autoSpaceDE w:val="0"/>
        <w:autoSpaceDN w:val="0"/>
        <w:adjustRightInd w:val="0"/>
        <w:jc w:val="center"/>
        <w:rPr>
          <w:rFonts w:hint="eastAsia" w:ascii="方正仿宋_GB2312" w:eastAsia="方正仿宋_GB2312"/>
          <w:b/>
          <w:color w:val="000000" w:themeColor="text1"/>
          <w:sz w:val="32"/>
          <w:szCs w:val="32"/>
          <w:lang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52"/>
          <w:szCs w:val="52"/>
          <w:lang w:val="en-US" w:eastAsia="zh-CN"/>
          <w14:textFill>
            <w14:solidFill>
              <w14:schemeClr w14:val="tx1"/>
            </w14:solidFill>
          </w14:textFill>
        </w:rPr>
        <w:t>保护</w:t>
      </w:r>
      <w:r>
        <w:rPr>
          <w:rFonts w:hint="eastAsia" w:ascii="方正小标宋简体" w:hAnsi="方正小标宋简体" w:eastAsia="方正小标宋简体" w:cs="方正小标宋简体"/>
          <w:b w:val="0"/>
          <w:bCs w:val="0"/>
          <w:color w:val="000000" w:themeColor="text1"/>
          <w:sz w:val="52"/>
          <w:szCs w:val="52"/>
          <w14:textFill>
            <w14:solidFill>
              <w14:schemeClr w14:val="tx1"/>
            </w14:solidFill>
          </w14:textFill>
        </w:rPr>
        <w:t>发展规划</w:t>
      </w:r>
    </w:p>
    <w:p>
      <w:pPr>
        <w:autoSpaceDE w:val="0"/>
        <w:autoSpaceDN w:val="0"/>
        <w:adjustRightInd w:val="0"/>
        <w:jc w:val="center"/>
        <w:rPr>
          <w:rFonts w:hint="eastAsia" w:ascii="方正仿宋_GB2312" w:eastAsia="方正仿宋_GB2312"/>
          <w:b/>
          <w:color w:val="000000" w:themeColor="text1"/>
          <w:sz w:val="32"/>
          <w:szCs w:val="32"/>
          <w:lang w:eastAsia="zh-CN"/>
          <w14:textFill>
            <w14:solidFill>
              <w14:schemeClr w14:val="tx1"/>
            </w14:solidFill>
          </w14:textFill>
        </w:rPr>
      </w:pPr>
    </w:p>
    <w:p>
      <w:pPr>
        <w:pStyle w:val="3"/>
        <w:rPr>
          <w:rFonts w:hint="eastAsia" w:ascii="方正仿宋_GB2312" w:eastAsia="方正仿宋_GB2312"/>
          <w:b/>
          <w:color w:val="000000" w:themeColor="text1"/>
          <w:sz w:val="32"/>
          <w:szCs w:val="32"/>
          <w:lang w:eastAsia="zh-CN"/>
          <w14:textFill>
            <w14:solidFill>
              <w14:schemeClr w14:val="tx1"/>
            </w14:solidFill>
          </w14:textFill>
        </w:rPr>
      </w:pPr>
    </w:p>
    <w:p>
      <w:pPr>
        <w:pStyle w:val="3"/>
        <w:rPr>
          <w:rFonts w:hint="eastAsia" w:ascii="方正仿宋_GB2312" w:eastAsia="方正仿宋_GB2312"/>
          <w:b/>
          <w:color w:val="000000" w:themeColor="text1"/>
          <w:sz w:val="32"/>
          <w:szCs w:val="32"/>
          <w:lang w:eastAsia="zh-CN"/>
          <w14:textFill>
            <w14:solidFill>
              <w14:schemeClr w14:val="tx1"/>
            </w14:solidFill>
          </w14:textFill>
        </w:rPr>
      </w:pPr>
    </w:p>
    <w:p>
      <w:pPr>
        <w:pStyle w:val="3"/>
        <w:rPr>
          <w:rFonts w:hint="eastAsia" w:ascii="方正仿宋_GB2312" w:eastAsia="方正仿宋_GB2312"/>
          <w:b/>
          <w:color w:val="000000" w:themeColor="text1"/>
          <w:sz w:val="32"/>
          <w:szCs w:val="32"/>
          <w:lang w:eastAsia="zh-CN"/>
          <w14:textFill>
            <w14:solidFill>
              <w14:schemeClr w14:val="tx1"/>
            </w14:solidFill>
          </w14:textFill>
        </w:rPr>
      </w:pPr>
    </w:p>
    <w:p>
      <w:pPr>
        <w:pStyle w:val="3"/>
        <w:rPr>
          <w:rFonts w:hint="eastAsia" w:ascii="方正仿宋_GB2312" w:eastAsia="方正仿宋_GB2312"/>
          <w:b/>
          <w:color w:val="000000" w:themeColor="text1"/>
          <w:sz w:val="32"/>
          <w:szCs w:val="32"/>
          <w:lang w:eastAsia="zh-CN"/>
          <w14:textFill>
            <w14:solidFill>
              <w14:schemeClr w14:val="tx1"/>
            </w14:solidFill>
          </w14:textFill>
        </w:rPr>
      </w:pPr>
    </w:p>
    <w:p>
      <w:pPr>
        <w:pStyle w:val="3"/>
        <w:rPr>
          <w:rFonts w:hint="eastAsia" w:ascii="方正仿宋_GB2312" w:eastAsia="方正仿宋_GB2312"/>
          <w:b/>
          <w:color w:val="000000" w:themeColor="text1"/>
          <w:sz w:val="32"/>
          <w:szCs w:val="32"/>
          <w:lang w:eastAsia="zh-CN"/>
          <w14:textFill>
            <w14:solidFill>
              <w14:schemeClr w14:val="tx1"/>
            </w14:solidFill>
          </w14:textFill>
        </w:rPr>
      </w:pPr>
    </w:p>
    <w:p>
      <w:pPr>
        <w:pStyle w:val="3"/>
        <w:rPr>
          <w:rFonts w:hint="eastAsia" w:ascii="方正仿宋_GB2312" w:eastAsia="方正仿宋_GB2312"/>
          <w:b/>
          <w:color w:val="000000" w:themeColor="text1"/>
          <w:sz w:val="32"/>
          <w:szCs w:val="32"/>
          <w:lang w:eastAsia="zh-CN"/>
          <w14:textFill>
            <w14:solidFill>
              <w14:schemeClr w14:val="tx1"/>
            </w14:solidFill>
          </w14:textFill>
        </w:rPr>
      </w:pPr>
    </w:p>
    <w:p>
      <w:pPr>
        <w:pStyle w:val="3"/>
        <w:rPr>
          <w:rFonts w:hint="eastAsia" w:ascii="方正仿宋_GB2312" w:eastAsia="方正仿宋_GB2312"/>
          <w:b/>
          <w:color w:val="000000" w:themeColor="text1"/>
          <w:sz w:val="32"/>
          <w:szCs w:val="32"/>
          <w:lang w:eastAsia="zh-CN"/>
          <w14:textFill>
            <w14:solidFill>
              <w14:schemeClr w14:val="tx1"/>
            </w14:solidFill>
          </w14:textFill>
        </w:rPr>
      </w:pPr>
    </w:p>
    <w:p>
      <w:pPr>
        <w:pStyle w:val="3"/>
        <w:rPr>
          <w:rFonts w:hint="eastAsia" w:ascii="方正仿宋_GB2312" w:eastAsia="方正仿宋_GB2312"/>
          <w:b/>
          <w:color w:val="000000" w:themeColor="text1"/>
          <w:sz w:val="32"/>
          <w:szCs w:val="32"/>
          <w:lang w:eastAsia="zh-CN"/>
          <w14:textFill>
            <w14:solidFill>
              <w14:schemeClr w14:val="tx1"/>
            </w14:solidFill>
          </w14:textFill>
        </w:rPr>
      </w:pPr>
    </w:p>
    <w:p>
      <w:pPr>
        <w:pStyle w:val="3"/>
        <w:rPr>
          <w:rFonts w:hint="eastAsia" w:ascii="方正仿宋_GB2312" w:eastAsia="方正仿宋_GB2312"/>
          <w:b/>
          <w:color w:val="000000" w:themeColor="text1"/>
          <w:sz w:val="32"/>
          <w:szCs w:val="32"/>
          <w:lang w:eastAsia="zh-CN"/>
          <w14:textFill>
            <w14:solidFill>
              <w14:schemeClr w14:val="tx1"/>
            </w14:solidFill>
          </w14:textFill>
        </w:rPr>
      </w:pPr>
    </w:p>
    <w:p>
      <w:pPr>
        <w:pStyle w:val="3"/>
        <w:rPr>
          <w:rFonts w:hint="eastAsia" w:ascii="方正仿宋_GB2312" w:eastAsia="方正仿宋_GB2312"/>
          <w:b/>
          <w:color w:val="000000" w:themeColor="text1"/>
          <w:sz w:val="32"/>
          <w:szCs w:val="32"/>
          <w:lang w:eastAsia="zh-CN"/>
          <w14:textFill>
            <w14:solidFill>
              <w14:schemeClr w14:val="tx1"/>
            </w14:solidFill>
          </w14:textFill>
        </w:rPr>
      </w:pPr>
    </w:p>
    <w:p>
      <w:pPr>
        <w:pStyle w:val="3"/>
        <w:rPr>
          <w:rFonts w:hint="eastAsia" w:ascii="方正仿宋_GB2312" w:eastAsia="方正仿宋_GB2312"/>
          <w:b/>
          <w:color w:val="000000" w:themeColor="text1"/>
          <w:sz w:val="32"/>
          <w:szCs w:val="32"/>
          <w:lang w:eastAsia="zh-CN"/>
          <w14:textFill>
            <w14:solidFill>
              <w14:schemeClr w14:val="tx1"/>
            </w14:solidFill>
          </w14:textFill>
        </w:rPr>
      </w:pPr>
    </w:p>
    <w:p>
      <w:pPr>
        <w:autoSpaceDE w:val="0"/>
        <w:autoSpaceDN w:val="0"/>
        <w:adjustRightInd w:val="0"/>
        <w:jc w:val="both"/>
        <w:rPr>
          <w:rFonts w:ascii="方正仿宋_GB2312" w:eastAsia="方正仿宋_GB2312"/>
          <w:b/>
          <w:color w:val="000000" w:themeColor="text1"/>
          <w:sz w:val="32"/>
          <w:szCs w:val="32"/>
          <w14:textFill>
            <w14:solidFill>
              <w14:schemeClr w14:val="tx1"/>
            </w14:solidFill>
          </w14:textFill>
        </w:rPr>
      </w:pPr>
    </w:p>
    <w:p>
      <w:pPr>
        <w:autoSpaceDE w:val="0"/>
        <w:autoSpaceDN w:val="0"/>
        <w:adjustRightInd w:val="0"/>
        <w:jc w:val="center"/>
        <w:rPr>
          <w:rFonts w:hint="eastAsia" w:ascii="方正仿宋_GB2312" w:eastAsia="方正仿宋_GB2312"/>
          <w:b/>
          <w:color w:val="000000" w:themeColor="text1"/>
          <w:sz w:val="32"/>
          <w:szCs w:val="32"/>
          <w14:textFill>
            <w14:solidFill>
              <w14:schemeClr w14:val="tx1"/>
            </w14:solidFill>
          </w14:textFill>
        </w:rPr>
      </w:pPr>
    </w:p>
    <w:p>
      <w:pPr>
        <w:autoSpaceDE w:val="0"/>
        <w:autoSpaceDN w:val="0"/>
        <w:adjustRightInd w:val="0"/>
        <w:jc w:val="center"/>
        <w:rPr>
          <w:rFonts w:hint="eastAsia" w:ascii="方正仿宋_GB2312" w:eastAsia="方正仿宋_GB2312"/>
          <w:b/>
          <w:color w:val="000000" w:themeColor="text1"/>
          <w:sz w:val="32"/>
          <w:szCs w:val="32"/>
          <w:lang w:val="en-US" w:eastAsia="zh-CN"/>
          <w14:textFill>
            <w14:solidFill>
              <w14:schemeClr w14:val="tx1"/>
            </w14:solidFill>
          </w14:textFill>
        </w:rPr>
      </w:pPr>
    </w:p>
    <w:p>
      <w:pPr>
        <w:autoSpaceDE w:val="0"/>
        <w:autoSpaceDN w:val="0"/>
        <w:adjustRightInd w:val="0"/>
        <w:jc w:val="center"/>
        <w:rPr>
          <w:rFonts w:hint="eastAsia" w:ascii="方正仿宋_GB2312" w:eastAsia="方正仿宋_GB2312"/>
          <w:b/>
          <w:color w:val="000000" w:themeColor="text1"/>
          <w:sz w:val="32"/>
          <w:szCs w:val="32"/>
          <w14:textFill>
            <w14:solidFill>
              <w14:schemeClr w14:val="tx1"/>
            </w14:solidFill>
          </w14:textFill>
        </w:rPr>
      </w:pPr>
    </w:p>
    <w:p>
      <w:pPr>
        <w:autoSpaceDE w:val="0"/>
        <w:autoSpaceDN w:val="0"/>
        <w:adjustRightInd w:val="0"/>
        <w:jc w:val="cente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元谋县林业和草原局</w:t>
      </w:r>
    </w:p>
    <w:p/>
    <w:p>
      <w:pPr>
        <w:spacing w:before="0" w:beforeLines="0" w:after="0" w:afterLines="0" w:line="240" w:lineRule="auto"/>
        <w:ind w:left="0" w:leftChars="0" w:right="0" w:rightChars="0" w:firstLine="0" w:firstLineChars="0"/>
        <w:jc w:val="center"/>
        <w:rPr>
          <w:rFonts w:hint="eastAsia" w:ascii="方正小标宋简体" w:hAnsi="方正小标宋简体" w:eastAsia="方正小标宋简体" w:cs="方正小标宋简体"/>
          <w:b w:val="0"/>
          <w:bCs/>
          <w:color w:val="000000" w:themeColor="text1"/>
          <w:kern w:val="44"/>
          <w:sz w:val="36"/>
          <w:szCs w:val="36"/>
          <w:lang w:val="en-US" w:eastAsia="zh-CN" w:bidi="ar"/>
          <w14:textFill>
            <w14:solidFill>
              <w14:schemeClr w14:val="tx1"/>
            </w14:solidFill>
          </w14:textFill>
        </w:rPr>
        <w:sectPr>
          <w:headerReference r:id="rId3" w:type="default"/>
          <w:footerReference r:id="rId4" w:type="default"/>
          <w:pgSz w:w="11906" w:h="16838"/>
          <w:pgMar w:top="1417" w:right="1587" w:bottom="1440" w:left="1474" w:header="851" w:footer="992" w:gutter="0"/>
          <w:pgBorders>
            <w:top w:val="none" w:sz="0" w:space="0"/>
            <w:left w:val="none" w:sz="0" w:space="0"/>
            <w:bottom w:val="none" w:sz="0" w:space="0"/>
            <w:right w:val="none" w:sz="0" w:space="0"/>
          </w:pgBorders>
          <w:pgNumType w:fmt="numberInDash" w:start="1"/>
          <w:cols w:space="0" w:num="1"/>
          <w:rtlGutter w:val="0"/>
          <w:docGrid w:type="lines" w:linePitch="317" w:charSpace="0"/>
        </w:sectPr>
      </w:pPr>
    </w:p>
    <w:sdt>
      <w:sdtPr>
        <w:rPr>
          <w:rFonts w:hint="eastAsia" w:ascii="方正小标宋简体" w:hAnsi="方正小标宋简体" w:eastAsia="方正小标宋简体" w:cs="方正小标宋简体"/>
          <w:b w:val="0"/>
          <w:bCs/>
          <w:color w:val="000000" w:themeColor="text1"/>
          <w:kern w:val="44"/>
          <w:sz w:val="36"/>
          <w:szCs w:val="36"/>
          <w:lang w:val="en-US" w:eastAsia="zh-CN" w:bidi="ar"/>
          <w14:textFill>
            <w14:solidFill>
              <w14:schemeClr w14:val="tx1"/>
            </w14:solidFill>
          </w14:textFill>
        </w:rPr>
        <w:id w:val="147475781"/>
        <w15:color w:val="DBDBDB"/>
        <w:docPartObj>
          <w:docPartGallery w:val="Table of Contents"/>
          <w:docPartUnique/>
        </w:docPartObj>
      </w:sdtPr>
      <w:sdtEndPr>
        <w:rPr>
          <w:rFonts w:hint="eastAsia" w:ascii="方正小标宋简体" w:hAnsi="方正小标宋简体" w:eastAsia="方正小标宋简体" w:cs="方正小标宋简体"/>
          <w:b/>
          <w:bCs w:val="0"/>
          <w:color w:val="000000" w:themeColor="text1"/>
          <w:kern w:val="44"/>
          <w:sz w:val="36"/>
          <w:szCs w:val="36"/>
          <w:lang w:val="en-US" w:eastAsia="zh-CN" w:bidi="ar"/>
          <w14:textFill>
            <w14:solidFill>
              <w14:schemeClr w14:val="tx1"/>
            </w14:solidFill>
          </w14:textFill>
        </w:rPr>
      </w:sdtEndPr>
      <w:sdtContent>
        <w:p>
          <w:pPr>
            <w:spacing w:before="0" w:beforeLines="0" w:after="0" w:afterLines="0" w:line="240" w:lineRule="auto"/>
            <w:ind w:left="0" w:leftChars="0" w:right="0" w:rightChars="0" w:firstLine="0" w:firstLineChars="0"/>
            <w:jc w:val="center"/>
            <w:rPr>
              <w:rFonts w:hint="eastAsia" w:ascii="方正小标宋简体" w:hAnsi="方正小标宋简体" w:eastAsia="方正小标宋简体" w:cs="方正小标宋简体"/>
              <w:b w:val="0"/>
              <w:bCs/>
              <w:color w:val="000000" w:themeColor="text1"/>
              <w:kern w:val="44"/>
              <w:sz w:val="36"/>
              <w:szCs w:val="36"/>
              <w:lang w:val="en-US" w:eastAsia="zh-CN" w:bidi="ar"/>
              <w14:textFill>
                <w14:solidFill>
                  <w14:schemeClr w14:val="tx1"/>
                </w14:solidFill>
              </w14:textFill>
            </w:rPr>
          </w:pPr>
          <w:bookmarkStart w:id="0" w:name="_Toc10667"/>
          <w:r>
            <w:rPr>
              <w:rFonts w:hint="eastAsia" w:ascii="方正小标宋简体" w:hAnsi="方正小标宋简体" w:eastAsia="方正小标宋简体" w:cs="方正小标宋简体"/>
              <w:b w:val="0"/>
              <w:bCs/>
              <w:color w:val="000000" w:themeColor="text1"/>
              <w:kern w:val="44"/>
              <w:sz w:val="36"/>
              <w:szCs w:val="36"/>
              <w:lang w:val="en-US" w:eastAsia="zh-CN" w:bidi="ar"/>
              <w14:textFill>
                <w14:solidFill>
                  <w14:schemeClr w14:val="tx1"/>
                </w14:solidFill>
              </w14:textFill>
            </w:rPr>
            <w:t>目  录</w:t>
          </w:r>
        </w:p>
        <w:p>
          <w:pPr>
            <w:pStyle w:val="24"/>
            <w:tabs>
              <w:tab w:val="right" w:leader="dot" w:pos="8845"/>
            </w:tabs>
            <w:rPr>
              <w:b w:val="0"/>
              <w:bCs/>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TOC \o "1-2" \h \u </w:instrText>
          </w:r>
          <w:r>
            <w:rPr>
              <w:color w:val="000000" w:themeColor="text1"/>
              <w14:textFill>
                <w14:solidFill>
                  <w14:schemeClr w14:val="tx1"/>
                </w14:solidFill>
              </w14:textFill>
            </w:rPr>
            <w:fldChar w:fldCharType="separate"/>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begin"/>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instrText xml:space="preserve"> HYPERLINK \l _Toc5996 </w:instrText>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separate"/>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t>前  言</w:t>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_Toc6886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end"/>
          </w:r>
        </w:p>
        <w:p>
          <w:pPr>
            <w:pStyle w:val="24"/>
            <w:tabs>
              <w:tab w:val="right" w:leader="dot" w:pos="8845"/>
            </w:tabs>
            <w:rPr>
              <w:b/>
              <w:color w:val="000000" w:themeColor="text1"/>
              <w14:textFill>
                <w14:solidFill>
                  <w14:schemeClr w14:val="tx1"/>
                </w14:solidFill>
              </w14:textFill>
            </w:rPr>
          </w:pPr>
          <w:r>
            <w:rPr>
              <w:b w:val="0"/>
              <w:bCs/>
              <w:color w:val="000000" w:themeColor="text1"/>
              <w:sz w:val="32"/>
              <w:szCs w:val="32"/>
              <w14:textFill>
                <w14:solidFill>
                  <w14:schemeClr w14:val="tx1"/>
                </w14:solidFill>
              </w14:textFill>
            </w:rPr>
            <w:fldChar w:fldCharType="begin"/>
          </w:r>
          <w:r>
            <w:rPr>
              <w:b w:val="0"/>
              <w:bCs/>
              <w:color w:val="000000" w:themeColor="text1"/>
              <w:sz w:val="32"/>
              <w:szCs w:val="32"/>
              <w14:textFill>
                <w14:solidFill>
                  <w14:schemeClr w14:val="tx1"/>
                </w14:solidFill>
              </w14:textFill>
            </w:rPr>
            <w:instrText xml:space="preserve"> HYPERLINK \l _Toc22713 </w:instrText>
          </w:r>
          <w:r>
            <w:rPr>
              <w:b w:val="0"/>
              <w:bCs/>
              <w:color w:val="000000" w:themeColor="text1"/>
              <w:sz w:val="32"/>
              <w:szCs w:val="32"/>
              <w14:textFill>
                <w14:solidFill>
                  <w14:schemeClr w14:val="tx1"/>
                </w14:solidFill>
              </w14:textFill>
            </w:rPr>
            <w:fldChar w:fldCharType="separate"/>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t>第一章  发展基础</w:t>
          </w:r>
          <w:r>
            <w:rPr>
              <w:b w:val="0"/>
              <w:bCs/>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_Toc6886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b w:val="0"/>
              <w:bCs/>
              <w:color w:val="000000" w:themeColor="text1"/>
              <w:sz w:val="32"/>
              <w:szCs w:val="32"/>
              <w14:textFill>
                <w14:solidFill>
                  <w14:schemeClr w14:val="tx1"/>
                </w14:solidFill>
              </w14:textFill>
            </w:rPr>
            <w:fldChar w:fldCharType="end"/>
          </w:r>
        </w:p>
        <w:p>
          <w:pPr>
            <w:pStyle w:val="25"/>
            <w:tabs>
              <w:tab w:val="right" w:leader="dot" w:pos="8845"/>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HYPERLINK \l _Toc30895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kern w:val="0"/>
              <w:sz w:val="32"/>
              <w:szCs w:val="56"/>
              <w:lang w:val="en-US" w:eastAsia="zh-CN" w:bidi="ar-SA"/>
              <w14:textFill>
                <w14:solidFill>
                  <w14:schemeClr w14:val="tx1"/>
                </w14:solidFill>
              </w14:textFill>
            </w:rPr>
            <w:t>第一节  “十三五”林草建设主要成效</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_Toc30895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p>
        <w:p>
          <w:pPr>
            <w:pStyle w:val="25"/>
            <w:tabs>
              <w:tab w:val="right" w:leader="dot" w:pos="8845"/>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HYPERLINK \l _Toc5158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kern w:val="0"/>
              <w:sz w:val="32"/>
              <w:szCs w:val="56"/>
              <w:lang w:val="en-US" w:eastAsia="zh-CN" w:bidi="ar-SA"/>
              <w14:textFill>
                <w14:solidFill>
                  <w14:schemeClr w14:val="tx1"/>
                </w14:solidFill>
              </w14:textFill>
            </w:rPr>
            <w:t xml:space="preserve">第二节  </w:t>
          </w:r>
          <w:r>
            <w:rPr>
              <w:rFonts w:hint="eastAsia" w:ascii="仿宋_GB2312" w:hAnsi="仿宋_GB2312" w:eastAsia="仿宋_GB2312" w:cs="仿宋_GB2312"/>
              <w:bCs/>
              <w:strike w:val="0"/>
              <w:dstrike w:val="0"/>
              <w:color w:val="000000" w:themeColor="text1"/>
              <w:kern w:val="0"/>
              <w:sz w:val="32"/>
              <w:szCs w:val="56"/>
              <w:lang w:val="en-US" w:eastAsia="zh-CN" w:bidi="ar-SA"/>
              <w14:textFill>
                <w14:solidFill>
                  <w14:schemeClr w14:val="tx1"/>
                </w14:solidFill>
              </w14:textFill>
            </w:rPr>
            <w:t>存在问题</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_Toc5158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- 1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p>
        <w:p>
          <w:pPr>
            <w:pStyle w:val="25"/>
            <w:tabs>
              <w:tab w:val="right" w:leader="dot" w:pos="8845"/>
            </w:tabs>
            <w:rPr>
              <w:color w:val="000000" w:themeColor="text1"/>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HYPERLINK \l _Toc6886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kern w:val="0"/>
              <w:sz w:val="32"/>
              <w:szCs w:val="56"/>
              <w:lang w:val="en-US" w:eastAsia="zh-CN" w:bidi="ar-SA"/>
              <w14:textFill>
                <w14:solidFill>
                  <w14:schemeClr w14:val="tx1"/>
                </w14:solidFill>
              </w14:textFill>
            </w:rPr>
            <w:t>第三节  面临机遇</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_Toc6886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- 1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p>
        <w:p>
          <w:pPr>
            <w:pStyle w:val="24"/>
            <w:tabs>
              <w:tab w:val="right" w:leader="dot" w:pos="8845"/>
            </w:tabs>
            <w:rPr>
              <w:b w:val="0"/>
              <w:bCs/>
              <w:color w:val="000000" w:themeColor="text1"/>
              <w14:textFill>
                <w14:solidFill>
                  <w14:schemeClr w14:val="tx1"/>
                </w14:solidFill>
              </w14:textFill>
            </w:rPr>
          </w:pP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begin"/>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instrText xml:space="preserve"> HYPERLINK \l _Toc22952 </w:instrText>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separate"/>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t>第二章 总体思路</w:t>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tab/>
          </w:r>
          <w:r>
            <w:rPr>
              <w:rFonts w:hint="eastAsia" w:ascii="仿宋_GB2312" w:hAnsi="仿宋_GB2312" w:eastAsia="仿宋_GB2312" w:cs="仿宋_GB2312"/>
              <w:b/>
              <w:bCs/>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
              <w:bCs/>
              <w:color w:val="000000" w:themeColor="text1"/>
              <w:sz w:val="32"/>
              <w:szCs w:val="32"/>
              <w14:textFill>
                <w14:solidFill>
                  <w14:schemeClr w14:val="tx1"/>
                </w14:solidFill>
              </w14:textFill>
            </w:rPr>
            <w:instrText xml:space="preserve"> PAGEREF _Toc6886 \h </w:instrText>
          </w:r>
          <w:r>
            <w:rPr>
              <w:rFonts w:hint="eastAsia" w:ascii="仿宋_GB2312" w:hAnsi="仿宋_GB2312" w:eastAsia="仿宋_GB2312" w:cs="仿宋_GB2312"/>
              <w:b/>
              <w:bCs/>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
              <w:bCs/>
              <w:color w:val="000000" w:themeColor="text1"/>
              <w:sz w:val="32"/>
              <w:szCs w:val="32"/>
              <w14:textFill>
                <w14:solidFill>
                  <w14:schemeClr w14:val="tx1"/>
                </w14:solidFill>
              </w14:textFill>
            </w:rPr>
            <w:t>- 1</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b/>
              <w:bCs/>
              <w:color w:val="000000" w:themeColor="text1"/>
              <w:sz w:val="32"/>
              <w:szCs w:val="32"/>
              <w14:textFill>
                <w14:solidFill>
                  <w14:schemeClr w14:val="tx1"/>
                </w14:solidFill>
              </w14:textFill>
            </w:rPr>
            <w:t xml:space="preserve"> -</w:t>
          </w:r>
          <w:r>
            <w:rPr>
              <w:rFonts w:hint="eastAsia" w:ascii="仿宋_GB2312" w:hAnsi="仿宋_GB2312" w:eastAsia="仿宋_GB2312" w:cs="仿宋_GB2312"/>
              <w:b/>
              <w:bCs/>
              <w:color w:val="000000" w:themeColor="text1"/>
              <w:sz w:val="32"/>
              <w:szCs w:val="32"/>
              <w14:textFill>
                <w14:solidFill>
                  <w14:schemeClr w14:val="tx1"/>
                </w14:solidFill>
              </w14:textFill>
            </w:rPr>
            <w:fldChar w:fldCharType="end"/>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end"/>
          </w:r>
        </w:p>
        <w:p>
          <w:pPr>
            <w:pStyle w:val="25"/>
            <w:tabs>
              <w:tab w:val="right" w:leader="dot" w:pos="8845"/>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HYPERLINK \l _Toc18704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第一节  指导思想</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_Toc18704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- 1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p>
        <w:p>
          <w:pPr>
            <w:pStyle w:val="25"/>
            <w:tabs>
              <w:tab w:val="right" w:leader="dot" w:pos="8845"/>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HYPERLINK \l _Toc18884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第二节  基本原则</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_Toc18884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- 1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p>
        <w:p>
          <w:pPr>
            <w:pStyle w:val="25"/>
            <w:tabs>
              <w:tab w:val="right" w:leader="dot" w:pos="8845"/>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HYPERLINK \l _Toc9490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第三节  发展目标</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_Toc9490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- 1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7</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p>
        <w:p>
          <w:pPr>
            <w:pStyle w:val="25"/>
            <w:tabs>
              <w:tab w:val="right" w:leader="dot" w:pos="8845"/>
            </w:tabs>
            <w:rPr>
              <w:color w:val="000000" w:themeColor="text1"/>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HYPERLINK \l _Toc23642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第四节  空间产业布局</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_Toc23642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- 2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p>
        <w:p>
          <w:pPr>
            <w:pStyle w:val="24"/>
            <w:tabs>
              <w:tab w:val="right" w:leader="dot" w:pos="8845"/>
            </w:tabs>
            <w:rPr>
              <w:rFonts w:hint="eastAsia" w:ascii="方正小标宋简体" w:hAnsi="方正小标宋简体" w:eastAsia="方正小标宋简体" w:cs="方正小标宋简体"/>
              <w:b/>
              <w:bCs w:val="0"/>
              <w:color w:val="000000" w:themeColor="text1"/>
              <w:kern w:val="44"/>
              <w:sz w:val="32"/>
              <w:szCs w:val="32"/>
              <w:lang w:val="en-US" w:eastAsia="zh-CN" w:bidi="ar"/>
              <w14:textFill>
                <w14:solidFill>
                  <w14:schemeClr w14:val="tx1"/>
                </w14:solidFill>
              </w14:textFill>
            </w:rPr>
          </w:pP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begin"/>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instrText xml:space="preserve"> HYPERLINK \l _Toc30361 </w:instrText>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separate"/>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t>第三章 筑牢生态安全屏障</w:t>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tab/>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begin"/>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instrText xml:space="preserve"> PAGEREF _Toc30361 \h </w:instrText>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separate"/>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t>- 23 -</w:t>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end"/>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end"/>
          </w:r>
        </w:p>
        <w:p>
          <w:pPr>
            <w:pStyle w:val="25"/>
            <w:tabs>
              <w:tab w:val="right" w:leader="dot" w:pos="8845"/>
            </w:tabs>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HYPERLINK \l _Toc21640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第一节  科学开展国土绿化行动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ab/>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PAGEREF _Toc21640 \h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- 23 -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p>
        <w:p>
          <w:pPr>
            <w:pStyle w:val="25"/>
            <w:tabs>
              <w:tab w:val="right" w:leader="dot" w:pos="8845"/>
            </w:tabs>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HYPERLINK \l _Toc11750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第二节  加强林草资源监督管理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ab/>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PAGEREF _Toc11750 \h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- 27 -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p>
        <w:p>
          <w:pPr>
            <w:pStyle w:val="25"/>
            <w:tabs>
              <w:tab w:val="right" w:leader="dot" w:pos="8845"/>
            </w:tabs>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HYPERLINK \l _Toc7356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第三节  加强草地保护修复</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ab/>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PAGEREF _Toc7356 \h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- 29 -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p>
        <w:p>
          <w:pPr>
            <w:pStyle w:val="25"/>
            <w:tabs>
              <w:tab w:val="right" w:leader="dot" w:pos="8845"/>
            </w:tabs>
            <w:rPr>
              <w:color w:val="000000" w:themeColor="text1"/>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HYPERLINK \l _Toc8727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第四节  强化湿地保护修复</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ab/>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PAGEREF _Toc8727 \h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- 31 -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p>
        <w:p>
          <w:pPr>
            <w:pStyle w:val="24"/>
            <w:tabs>
              <w:tab w:val="right" w:leader="dot" w:pos="8845"/>
            </w:tabs>
            <w:rPr>
              <w:b/>
              <w:color w:val="000000" w:themeColor="text1"/>
              <w14:textFill>
                <w14:solidFill>
                  <w14:schemeClr w14:val="tx1"/>
                </w14:solidFill>
              </w14:textFill>
            </w:rPr>
          </w:pP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begin"/>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instrText xml:space="preserve"> HYPERLINK \l _Toc5214 </w:instrText>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separate"/>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t>第四章 保护生物多样性</w:t>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tab/>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begin"/>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instrText xml:space="preserve"> PAGEREF _Toc5214 \h </w:instrText>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separate"/>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t>- 32 -</w:t>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end"/>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end"/>
          </w:r>
        </w:p>
        <w:p>
          <w:pPr>
            <w:pStyle w:val="25"/>
            <w:tabs>
              <w:tab w:val="right" w:leader="dot" w:pos="8845"/>
            </w:tabs>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HYPERLINK \l _Toc3761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第一节  夯实野生动植物资源监测体系</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ab/>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PAGEREF _Toc3761 \h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- 33 -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p>
        <w:p>
          <w:pPr>
            <w:pStyle w:val="25"/>
            <w:tabs>
              <w:tab w:val="right" w:leader="dot" w:pos="8845"/>
            </w:tabs>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HYPERLINK \l _Toc25522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第二节  构建自然保护地建设体系</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ab/>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PAGEREF _Toc25522 \h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- 33 -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p>
        <w:p>
          <w:pPr>
            <w:pStyle w:val="25"/>
            <w:tabs>
              <w:tab w:val="right" w:leader="dot" w:pos="8845"/>
            </w:tabs>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HYPERLINK \l _Toc12913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第三节  加强野生动物保护</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ab/>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PAGEREF _Toc12913 \h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- 36 -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p>
        <w:p>
          <w:pPr>
            <w:pStyle w:val="25"/>
            <w:tabs>
              <w:tab w:val="right" w:leader="dot" w:pos="8845"/>
            </w:tabs>
            <w:rPr>
              <w:color w:val="000000" w:themeColor="text1"/>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HYPERLINK \l _Toc20450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第四节  加强野生植物保护</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ab/>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PAGEREF _Toc20450 \h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- 37 -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p>
        <w:p>
          <w:pPr>
            <w:pStyle w:val="24"/>
            <w:tabs>
              <w:tab w:val="right" w:leader="dot" w:pos="8845"/>
            </w:tabs>
            <w:rPr>
              <w:rFonts w:hint="eastAsia" w:ascii="方正小标宋简体" w:hAnsi="方正小标宋简体" w:eastAsia="方正小标宋简体" w:cs="方正小标宋简体"/>
              <w:b/>
              <w:bCs w:val="0"/>
              <w:color w:val="000000" w:themeColor="text1"/>
              <w:kern w:val="44"/>
              <w:sz w:val="32"/>
              <w:szCs w:val="32"/>
              <w:lang w:val="en-US" w:eastAsia="zh-CN" w:bidi="ar"/>
              <w14:textFill>
                <w14:solidFill>
                  <w14:schemeClr w14:val="tx1"/>
                </w14:solidFill>
              </w14:textFill>
            </w:rPr>
          </w:pP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begin"/>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instrText xml:space="preserve"> HYPERLINK \l _Toc16815 </w:instrText>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separate"/>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t>第五章 发展生态富民产业</w:t>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tab/>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begin"/>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instrText xml:space="preserve"> PAGEREF _Toc16815 \h </w:instrText>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separate"/>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t>- 38 -</w:t>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end"/>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end"/>
          </w:r>
        </w:p>
        <w:p>
          <w:pPr>
            <w:pStyle w:val="25"/>
            <w:tabs>
              <w:tab w:val="right" w:leader="dot" w:pos="8845"/>
            </w:tabs>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HYPERLINK \l _Toc6232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第一节  做优做强林草产业</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ab/>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PAGEREF _Toc6232 \h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- 38 -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p>
        <w:p>
          <w:pPr>
            <w:pStyle w:val="25"/>
            <w:tabs>
              <w:tab w:val="right" w:leader="dot" w:pos="8845"/>
            </w:tabs>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HYPERLINK \l _Toc12508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第二节  巩固脱贫成果与助推乡村振兴</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ab/>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PAGEREF _Toc12508 \h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- 42 -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p>
        <w:p>
          <w:pPr>
            <w:pStyle w:val="24"/>
            <w:tabs>
              <w:tab w:val="right" w:leader="dot" w:pos="8845"/>
            </w:tabs>
            <w:rPr>
              <w:b/>
              <w:color w:val="000000" w:themeColor="text1"/>
              <w14:textFill>
                <w14:solidFill>
                  <w14:schemeClr w14:val="tx1"/>
                </w14:solidFill>
              </w14:textFill>
            </w:rPr>
          </w:pP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begin"/>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instrText xml:space="preserve"> HYPERLINK \l _Toc28614 </w:instrText>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separate"/>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t>第六章 深化重点领域改革</w:t>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tab/>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begin"/>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instrText xml:space="preserve"> PAGEREF _Toc28614 \h </w:instrText>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separate"/>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t>- 44 -</w:t>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end"/>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end"/>
          </w:r>
        </w:p>
        <w:p>
          <w:pPr>
            <w:pStyle w:val="25"/>
            <w:tabs>
              <w:tab w:val="right" w:leader="dot" w:pos="8845"/>
            </w:tabs>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HYPERLINK \l _Toc16347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第一节  全面推行林长制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ab/>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PAGEREF _Toc16347 \h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- 44 -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p>
        <w:p>
          <w:pPr>
            <w:pStyle w:val="25"/>
            <w:tabs>
              <w:tab w:val="right" w:leader="dot" w:pos="8845"/>
            </w:tabs>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HYPERLINK \l _Toc30351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第二节  推进林草碳中和行动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ab/>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PAGEREF _Toc30351 \h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- 45 -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p>
        <w:p>
          <w:pPr>
            <w:pStyle w:val="24"/>
            <w:tabs>
              <w:tab w:val="right" w:leader="dot" w:pos="8845"/>
            </w:tabs>
            <w:rPr>
              <w:rFonts w:hint="eastAsia" w:ascii="方正小标宋简体" w:hAnsi="方正小标宋简体" w:eastAsia="方正小标宋简体" w:cs="方正小标宋简体"/>
              <w:b/>
              <w:bCs w:val="0"/>
              <w:color w:val="000000" w:themeColor="text1"/>
              <w:kern w:val="44"/>
              <w:sz w:val="32"/>
              <w:szCs w:val="32"/>
              <w:lang w:val="en-US" w:eastAsia="zh-CN" w:bidi="ar"/>
              <w14:textFill>
                <w14:solidFill>
                  <w14:schemeClr w14:val="tx1"/>
                </w14:solidFill>
              </w14:textFill>
            </w:rPr>
          </w:pP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begin"/>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instrText xml:space="preserve"> HYPERLINK \l _Toc13645 </w:instrText>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separate"/>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t>第七章 支撑保障体系建设</w:t>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tab/>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begin"/>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instrText xml:space="preserve"> PAGEREF _Toc13645 \h </w:instrText>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separate"/>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t>- 45 -</w:t>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end"/>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end"/>
          </w:r>
        </w:p>
        <w:p>
          <w:pPr>
            <w:pStyle w:val="25"/>
            <w:tabs>
              <w:tab w:val="right" w:leader="dot" w:pos="8845"/>
            </w:tabs>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HYPERLINK \l _Toc2420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第一节  强化依法整治力度</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ab/>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PAGEREF _Toc2420 \h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- 45 -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p>
        <w:p>
          <w:pPr>
            <w:pStyle w:val="25"/>
            <w:tabs>
              <w:tab w:val="right" w:leader="dot" w:pos="8845"/>
            </w:tabs>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HYPERLINK \l _Toc28932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第二节  夯实防灾减灾和基础能力建设</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ab/>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PAGEREF _Toc28932 \h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- 46 -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p>
        <w:p>
          <w:pPr>
            <w:pStyle w:val="24"/>
            <w:tabs>
              <w:tab w:val="right" w:leader="dot" w:pos="8845"/>
            </w:tabs>
            <w:rPr>
              <w:rFonts w:hint="eastAsia" w:ascii="方正小标宋简体" w:hAnsi="方正小标宋简体" w:eastAsia="方正小标宋简体" w:cs="方正小标宋简体"/>
              <w:b/>
              <w:bCs w:val="0"/>
              <w:color w:val="000000" w:themeColor="text1"/>
              <w:kern w:val="44"/>
              <w:sz w:val="32"/>
              <w:szCs w:val="32"/>
              <w:lang w:val="en-US" w:eastAsia="zh-CN" w:bidi="ar"/>
              <w14:textFill>
                <w14:solidFill>
                  <w14:schemeClr w14:val="tx1"/>
                </w14:solidFill>
              </w14:textFill>
            </w:rPr>
          </w:pP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begin"/>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instrText xml:space="preserve"> HYPERLINK \l _Toc3765 </w:instrText>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separate"/>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t>第八章 保障措施</w:t>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tab/>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begin"/>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instrText xml:space="preserve"> PAGEREF _Toc3765 \h </w:instrText>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separate"/>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t>- 49 -</w:t>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end"/>
          </w:r>
          <w:r>
            <w:rPr>
              <w:rFonts w:hint="eastAsia" w:ascii="方正小标宋简体" w:hAnsi="方正小标宋简体" w:eastAsia="方正小标宋简体" w:cs="方正小标宋简体"/>
              <w:b w:val="0"/>
              <w:bCs/>
              <w:color w:val="000000" w:themeColor="text1"/>
              <w:kern w:val="44"/>
              <w:sz w:val="32"/>
              <w:szCs w:val="32"/>
              <w:lang w:val="en-US" w:eastAsia="zh-CN" w:bidi="ar"/>
              <w14:textFill>
                <w14:solidFill>
                  <w14:schemeClr w14:val="tx1"/>
                </w14:solidFill>
              </w14:textFill>
            </w:rPr>
            <w:fldChar w:fldCharType="end"/>
          </w:r>
        </w:p>
        <w:p>
          <w:pPr>
            <w:pStyle w:val="25"/>
            <w:tabs>
              <w:tab w:val="right" w:leader="dot" w:pos="8845"/>
            </w:tabs>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HYPERLINK \l _Toc30516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第一节  全面加强党的领导</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ab/>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PAGEREF _Toc30516 \h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- 49 -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p>
        <w:p>
          <w:pPr>
            <w:pStyle w:val="25"/>
            <w:tabs>
              <w:tab w:val="right" w:leader="dot" w:pos="8845"/>
            </w:tabs>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HYPERLINK \l _Toc31989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第二节  健全规划实施机制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ab/>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PAGEREF _Toc31989 \h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- 50 -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p>
        <w:p>
          <w:pPr>
            <w:pStyle w:val="25"/>
            <w:tabs>
              <w:tab w:val="right" w:leader="dot" w:pos="8845"/>
            </w:tabs>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HYPERLINK \l _Toc25123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第三节  加大政策资金支持力度</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ab/>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PAGEREF _Toc25123 \h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- 53 -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p>
        <w:p>
          <w:pPr>
            <w:pStyle w:val="25"/>
            <w:tabs>
              <w:tab w:val="right" w:leader="dot" w:pos="8845"/>
            </w:tabs>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HYPERLINK \l _Toc29363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第四节  调动社会各界积极性</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ab/>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instrText xml:space="preserve"> PAGEREF _Toc29363 \h </w:instrTex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- 56 -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fldChar w:fldCharType="end"/>
          </w:r>
        </w:p>
        <w:p>
          <w:pPr>
            <w:pStyle w:val="24"/>
            <w:tabs>
              <w:tab w:val="right" w:leader="dot" w:pos="8845"/>
            </w:tabs>
            <w:rPr>
              <w:b w:val="0"/>
              <w:bCs/>
              <w:color w:val="000000" w:themeColor="text1"/>
              <w:sz w:val="32"/>
              <w:szCs w:val="32"/>
              <w14:textFill>
                <w14:solidFill>
                  <w14:schemeClr w14:val="tx1"/>
                </w14:solidFill>
              </w14:textFill>
            </w:rPr>
          </w:pPr>
        </w:p>
        <w:p>
          <w:pPr>
            <w:pStyle w:val="24"/>
            <w:tabs>
              <w:tab w:val="right" w:leader="dot" w:pos="8845"/>
            </w:tabs>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fldChar w:fldCharType="begin"/>
          </w:r>
          <w:r>
            <w:rPr>
              <w:rFonts w:hint="default" w:ascii="Times New Roman" w:hAnsi="Times New Roman" w:eastAsia="仿宋_GB2312" w:cs="Times New Roman"/>
              <w:b w:val="0"/>
              <w:bCs/>
              <w:color w:val="000000" w:themeColor="text1"/>
              <w:sz w:val="32"/>
              <w:szCs w:val="32"/>
              <w14:textFill>
                <w14:solidFill>
                  <w14:schemeClr w14:val="tx1"/>
                </w14:solidFill>
              </w14:textFill>
            </w:rPr>
            <w:instrText xml:space="preserve"> HYPERLINK \l _Toc22119 </w:instrText>
          </w:r>
          <w:r>
            <w:rPr>
              <w:rFonts w:hint="default" w:ascii="Times New Roman" w:hAnsi="Times New Roman" w:eastAsia="仿宋_GB2312" w:cs="Times New Roman"/>
              <w:b w:val="0"/>
              <w:bCs/>
              <w:color w:val="000000" w:themeColor="text1"/>
              <w:sz w:val="32"/>
              <w:szCs w:val="32"/>
              <w14:textFill>
                <w14:solidFill>
                  <w14:schemeClr w14:val="tx1"/>
                </w14:solidFill>
              </w14:textFill>
            </w:rPr>
            <w:fldChar w:fldCharType="separate"/>
          </w:r>
          <w:r>
            <w:rPr>
              <w:rFonts w:hint="default" w:ascii="Times New Roman" w:hAnsi="Times New Roman" w:eastAsia="仿宋_GB2312" w:cs="Times New Roman"/>
              <w:b w:val="0"/>
              <w:bCs/>
              <w:color w:val="000000" w:themeColor="text1"/>
              <w:kern w:val="2"/>
              <w:sz w:val="32"/>
              <w:szCs w:val="52"/>
              <w:lang w:val="en-US" w:eastAsia="zh-CN" w:bidi="ar-SA"/>
              <w14:textFill>
                <w14:solidFill>
                  <w14:schemeClr w14:val="tx1"/>
                </w14:solidFill>
              </w14:textFill>
            </w:rPr>
            <w:t>附图：</w:t>
          </w:r>
          <w:r>
            <w:rPr>
              <w:rFonts w:hint="default" w:ascii="Times New Roman" w:hAnsi="Times New Roman" w:eastAsia="仿宋_GB2312" w:cs="Times New Roman"/>
              <w:b w:val="0"/>
              <w:bCs/>
              <w:color w:val="000000" w:themeColor="text1"/>
              <w:sz w:val="32"/>
              <w:szCs w:val="32"/>
              <w14:textFill>
                <w14:solidFill>
                  <w14:schemeClr w14:val="tx1"/>
                </w14:solidFill>
              </w14:textFill>
            </w:rPr>
            <w:fldChar w:fldCharType="end"/>
          </w:r>
        </w:p>
        <w:p>
          <w:pPr>
            <w:pStyle w:val="24"/>
            <w:tabs>
              <w:tab w:val="right" w:leader="dot" w:pos="8845"/>
            </w:tabs>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fldChar w:fldCharType="begin"/>
          </w:r>
          <w:r>
            <w:rPr>
              <w:rFonts w:hint="default" w:ascii="Times New Roman" w:hAnsi="Times New Roman" w:eastAsia="仿宋_GB2312" w:cs="Times New Roman"/>
              <w:b w:val="0"/>
              <w:bCs/>
              <w:color w:val="000000" w:themeColor="text1"/>
              <w:sz w:val="32"/>
              <w:szCs w:val="32"/>
              <w14:textFill>
                <w14:solidFill>
                  <w14:schemeClr w14:val="tx1"/>
                </w14:solidFill>
              </w14:textFill>
            </w:rPr>
            <w:instrText xml:space="preserve"> HYPERLINK \l _Toc10770 </w:instrText>
          </w:r>
          <w:r>
            <w:rPr>
              <w:rFonts w:hint="default" w:ascii="Times New Roman" w:hAnsi="Times New Roman" w:eastAsia="仿宋_GB2312" w:cs="Times New Roman"/>
              <w:b w:val="0"/>
              <w:bCs/>
              <w:color w:val="000000" w:themeColor="text1"/>
              <w:sz w:val="32"/>
              <w:szCs w:val="32"/>
              <w14:textFill>
                <w14:solidFill>
                  <w14:schemeClr w14:val="tx1"/>
                </w14:solidFill>
              </w14:textFill>
            </w:rPr>
            <w:fldChar w:fldCharType="separate"/>
          </w:r>
          <w:r>
            <w:rPr>
              <w:rFonts w:hint="default" w:ascii="Times New Roman" w:hAnsi="Times New Roman" w:eastAsia="仿宋_GB2312" w:cs="Times New Roman"/>
              <w:b w:val="0"/>
              <w:bCs/>
              <w:color w:val="000000" w:themeColor="text1"/>
              <w:kern w:val="2"/>
              <w:sz w:val="32"/>
              <w:szCs w:val="52"/>
              <w:lang w:val="en-US" w:eastAsia="zh-CN" w:bidi="ar-SA"/>
              <w14:textFill>
                <w14:solidFill>
                  <w14:schemeClr w14:val="tx1"/>
                </w14:solidFill>
              </w14:textFill>
            </w:rPr>
            <w:t>附图1：元谋县行政区划图</w:t>
          </w:r>
          <w:r>
            <w:rPr>
              <w:rFonts w:hint="default" w:ascii="Times New Roman" w:hAnsi="Times New Roman" w:eastAsia="仿宋_GB2312" w:cs="Times New Roman"/>
              <w:b w:val="0"/>
              <w:bCs/>
              <w:color w:val="000000" w:themeColor="text1"/>
              <w:sz w:val="32"/>
              <w:szCs w:val="32"/>
              <w14:textFill>
                <w14:solidFill>
                  <w14:schemeClr w14:val="tx1"/>
                </w14:solidFill>
              </w14:textFill>
            </w:rPr>
            <w:fldChar w:fldCharType="end"/>
          </w:r>
        </w:p>
        <w:p>
          <w:pPr>
            <w:pStyle w:val="24"/>
            <w:tabs>
              <w:tab w:val="right" w:leader="dot" w:pos="8845"/>
            </w:tabs>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fldChar w:fldCharType="begin"/>
          </w:r>
          <w:r>
            <w:rPr>
              <w:rFonts w:hint="default" w:ascii="Times New Roman" w:hAnsi="Times New Roman" w:eastAsia="仿宋_GB2312" w:cs="Times New Roman"/>
              <w:b w:val="0"/>
              <w:bCs/>
              <w:color w:val="000000" w:themeColor="text1"/>
              <w:sz w:val="32"/>
              <w:szCs w:val="32"/>
              <w14:textFill>
                <w14:solidFill>
                  <w14:schemeClr w14:val="tx1"/>
                </w14:solidFill>
              </w14:textFill>
            </w:rPr>
            <w:instrText xml:space="preserve"> HYPERLINK \l _Toc13804 </w:instrText>
          </w:r>
          <w:r>
            <w:rPr>
              <w:rFonts w:hint="default" w:ascii="Times New Roman" w:hAnsi="Times New Roman" w:eastAsia="仿宋_GB2312" w:cs="Times New Roman"/>
              <w:b w:val="0"/>
              <w:bCs/>
              <w:color w:val="000000" w:themeColor="text1"/>
              <w:sz w:val="32"/>
              <w:szCs w:val="32"/>
              <w14:textFill>
                <w14:solidFill>
                  <w14:schemeClr w14:val="tx1"/>
                </w14:solidFill>
              </w14:textFill>
            </w:rPr>
            <w:fldChar w:fldCharType="separate"/>
          </w:r>
          <w:r>
            <w:rPr>
              <w:rFonts w:hint="default" w:ascii="Times New Roman" w:hAnsi="Times New Roman" w:eastAsia="仿宋_GB2312" w:cs="Times New Roman"/>
              <w:b w:val="0"/>
              <w:bCs/>
              <w:color w:val="000000" w:themeColor="text1"/>
              <w:kern w:val="2"/>
              <w:sz w:val="32"/>
              <w:szCs w:val="52"/>
              <w:lang w:val="en-US" w:eastAsia="zh-CN" w:bidi="ar-SA"/>
              <w14:textFill>
                <w14:solidFill>
                  <w14:schemeClr w14:val="tx1"/>
                </w14:solidFill>
              </w14:textFill>
            </w:rPr>
            <w:t>附图2：元谋县“十四五”林分质量规划图</w:t>
          </w:r>
          <w:r>
            <w:rPr>
              <w:rFonts w:hint="default" w:ascii="Times New Roman" w:hAnsi="Times New Roman" w:eastAsia="仿宋_GB2312" w:cs="Times New Roman"/>
              <w:b w:val="0"/>
              <w:bCs/>
              <w:color w:val="000000" w:themeColor="text1"/>
              <w:sz w:val="32"/>
              <w:szCs w:val="32"/>
              <w14:textFill>
                <w14:solidFill>
                  <w14:schemeClr w14:val="tx1"/>
                </w14:solidFill>
              </w14:textFill>
            </w:rPr>
            <w:fldChar w:fldCharType="end"/>
          </w:r>
        </w:p>
        <w:p>
          <w:pPr>
            <w:pStyle w:val="24"/>
            <w:tabs>
              <w:tab w:val="right" w:leader="dot" w:pos="8845"/>
            </w:tabs>
            <w:rPr>
              <w:b w:val="0"/>
              <w:bCs/>
              <w:color w:val="000000" w:themeColor="text1"/>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fldChar w:fldCharType="begin"/>
          </w:r>
          <w:r>
            <w:rPr>
              <w:rFonts w:hint="default" w:ascii="Times New Roman" w:hAnsi="Times New Roman" w:eastAsia="仿宋_GB2312" w:cs="Times New Roman"/>
              <w:b w:val="0"/>
              <w:bCs/>
              <w:color w:val="000000" w:themeColor="text1"/>
              <w:sz w:val="32"/>
              <w:szCs w:val="32"/>
              <w14:textFill>
                <w14:solidFill>
                  <w14:schemeClr w14:val="tx1"/>
                </w14:solidFill>
              </w14:textFill>
            </w:rPr>
            <w:instrText xml:space="preserve"> HYPERLINK \l _Toc13373 </w:instrText>
          </w:r>
          <w:r>
            <w:rPr>
              <w:rFonts w:hint="default" w:ascii="Times New Roman" w:hAnsi="Times New Roman" w:eastAsia="仿宋_GB2312" w:cs="Times New Roman"/>
              <w:b w:val="0"/>
              <w:bCs/>
              <w:color w:val="000000" w:themeColor="text1"/>
              <w:sz w:val="32"/>
              <w:szCs w:val="32"/>
              <w14:textFill>
                <w14:solidFill>
                  <w14:schemeClr w14:val="tx1"/>
                </w14:solidFill>
              </w14:textFill>
            </w:rPr>
            <w:fldChar w:fldCharType="separate"/>
          </w:r>
          <w:r>
            <w:rPr>
              <w:rFonts w:hint="default" w:ascii="Times New Roman" w:hAnsi="Times New Roman" w:eastAsia="仿宋_GB2312" w:cs="Times New Roman"/>
              <w:b w:val="0"/>
              <w:bCs/>
              <w:color w:val="000000" w:themeColor="text1"/>
              <w:kern w:val="2"/>
              <w:sz w:val="32"/>
              <w:szCs w:val="52"/>
              <w:lang w:val="en-US" w:eastAsia="zh-CN" w:bidi="ar-SA"/>
              <w14:textFill>
                <w14:solidFill>
                  <w14:schemeClr w14:val="tx1"/>
                </w14:solidFill>
              </w14:textFill>
            </w:rPr>
            <w:t>附图3：元谋县“十四五”林草产业规划分布图</w:t>
          </w:r>
          <w:r>
            <w:rPr>
              <w:rFonts w:hint="default" w:ascii="Times New Roman" w:hAnsi="Times New Roman" w:eastAsia="仿宋_GB2312" w:cs="Times New Roman"/>
              <w:b w:val="0"/>
              <w:bCs/>
              <w:color w:val="000000" w:themeColor="text1"/>
              <w:sz w:val="32"/>
              <w:szCs w:val="32"/>
              <w14:textFill>
                <w14:solidFill>
                  <w14:schemeClr w14:val="tx1"/>
                </w14:solidFill>
              </w14:textFill>
            </w:rPr>
            <w:fldChar w:fldCharType="end"/>
          </w:r>
        </w:p>
        <w:p>
          <w:pPr>
            <w:rPr>
              <w:rFonts w:hint="default" w:ascii="Times New Roman" w:hAnsi="Times New Roman" w:eastAsia="仿宋_GB2312" w:cs="Times New Roman"/>
              <w:b w:val="0"/>
              <w:bCs/>
              <w:color w:val="000000" w:themeColor="text1"/>
              <w:kern w:val="2"/>
              <w:sz w:val="32"/>
              <w:szCs w:val="52"/>
              <w:lang w:val="en-US" w:eastAsia="zh-CN" w:bidi="ar-SA"/>
              <w14:textFill>
                <w14:solidFill>
                  <w14:schemeClr w14:val="tx1"/>
                </w14:solidFill>
              </w14:textFill>
            </w:rPr>
          </w:pPr>
          <w:r>
            <w:rPr>
              <w:b/>
              <w:color w:val="000000" w:themeColor="text1"/>
              <w14:textFill>
                <w14:solidFill>
                  <w14:schemeClr w14:val="tx1"/>
                </w14:solidFill>
              </w14:textFill>
            </w:rPr>
            <w:fldChar w:fldCharType="end"/>
          </w:r>
          <w:r>
            <w:rPr>
              <w:rFonts w:hint="default" w:ascii="Times New Roman" w:hAnsi="Times New Roman" w:eastAsia="仿宋_GB2312" w:cs="Times New Roman"/>
              <w:b w:val="0"/>
              <w:bCs/>
              <w:color w:val="000000" w:themeColor="text1"/>
              <w:kern w:val="2"/>
              <w:sz w:val="32"/>
              <w:szCs w:val="52"/>
              <w:lang w:val="en-US" w:eastAsia="zh-CN" w:bidi="ar-SA"/>
              <w14:textFill>
                <w14:solidFill>
                  <w14:schemeClr w14:val="tx1"/>
                </w14:solidFill>
              </w14:textFill>
            </w:rPr>
            <w:t>附表：</w:t>
          </w:r>
        </w:p>
        <w:p>
          <w:pPr>
            <w:rPr>
              <w:rFonts w:hint="default" w:ascii="Times New Roman" w:hAnsi="Times New Roman" w:eastAsia="仿宋_GB2312" w:cs="Times New Roman"/>
              <w:b w:val="0"/>
              <w:bCs/>
              <w:color w:val="000000" w:themeColor="text1"/>
              <w:kern w:val="2"/>
              <w:sz w:val="32"/>
              <w:szCs w:val="52"/>
              <w:lang w:val="en-US" w:eastAsia="zh-CN" w:bidi="ar-SA"/>
              <w14:textFill>
                <w14:solidFill>
                  <w14:schemeClr w14:val="tx1"/>
                </w14:solidFill>
              </w14:textFill>
            </w:rPr>
          </w:pPr>
          <w:r>
            <w:rPr>
              <w:rFonts w:hint="default" w:ascii="Times New Roman" w:hAnsi="Times New Roman" w:eastAsia="仿宋_GB2312" w:cs="Times New Roman"/>
              <w:b w:val="0"/>
              <w:bCs/>
              <w:color w:val="000000" w:themeColor="text1"/>
              <w:kern w:val="2"/>
              <w:sz w:val="32"/>
              <w:szCs w:val="52"/>
              <w:lang w:val="en-US" w:eastAsia="zh-CN" w:bidi="ar-SA"/>
              <w14:textFill>
                <w14:solidFill>
                  <w14:schemeClr w14:val="tx1"/>
                </w14:solidFill>
              </w14:textFill>
            </w:rPr>
            <w:t>附表1：元谋县“十四五”林业和草原保护发展规划项目表</w:t>
          </w:r>
        </w:p>
        <w:p>
          <w:pPr>
            <w:rPr>
              <w:b/>
              <w:color w:val="000000" w:themeColor="text1"/>
              <w14:textFill>
                <w14:solidFill>
                  <w14:schemeClr w14:val="tx1"/>
                </w14:solidFill>
              </w14:textFill>
            </w:rPr>
          </w:pPr>
          <w:r>
            <w:rPr>
              <w:b/>
              <w:color w:val="000000" w:themeColor="text1"/>
              <w14:textFill>
                <w14:solidFill>
                  <w14:schemeClr w14:val="tx1"/>
                </w14:solidFill>
              </w14:textFill>
            </w:rPr>
            <w:br w:type="page"/>
          </w:r>
        </w:p>
        <w:p>
          <w:pPr>
            <w:rPr>
              <w:color w:val="000000" w:themeColor="text1"/>
              <w14:textFill>
                <w14:solidFill>
                  <w14:schemeClr w14:val="tx1"/>
                </w14:solidFill>
              </w14:textFill>
            </w:rPr>
          </w:pPr>
        </w:p>
      </w:sdtContent>
    </w:sdt>
    <w:p>
      <w:pPr>
        <w:pageBreakBefore w:val="0"/>
        <w:kinsoku/>
        <w:wordWrap/>
        <w:overflowPunct/>
        <w:topLinePunct w:val="0"/>
        <w:autoSpaceDE w:val="0"/>
        <w:autoSpaceDN w:val="0"/>
        <w:bidi w:val="0"/>
        <w:adjustRightInd w:val="0"/>
        <w:spacing w:line="600" w:lineRule="exact"/>
        <w:jc w:val="center"/>
        <w:textAlignment w:val="auto"/>
        <w:outlineLvl w:val="0"/>
        <w:rPr>
          <w:rFonts w:hint="eastAsia" w:ascii="宋体" w:hAnsi="宋体" w:eastAsia="宋体" w:cs="宋体"/>
          <w:b w:val="0"/>
          <w:bCs/>
          <w:color w:val="000000" w:themeColor="text1"/>
          <w:kern w:val="44"/>
          <w:sz w:val="44"/>
          <w:szCs w:val="44"/>
          <w:lang w:val="en-US" w:eastAsia="zh-CN" w:bidi="ar"/>
          <w14:textFill>
            <w14:solidFill>
              <w14:schemeClr w14:val="tx1"/>
            </w14:solidFill>
          </w14:textFill>
        </w:rPr>
      </w:pPr>
      <w:bookmarkStart w:id="1" w:name="_Toc5996"/>
      <w:r>
        <w:rPr>
          <w:rFonts w:hint="eastAsia" w:ascii="方正小标宋简体" w:hAnsi="方正小标宋简体" w:eastAsia="方正小标宋简体" w:cs="方正小标宋简体"/>
          <w:b w:val="0"/>
          <w:bCs/>
          <w:color w:val="000000" w:themeColor="text1"/>
          <w:kern w:val="44"/>
          <w:sz w:val="44"/>
          <w:szCs w:val="44"/>
          <w:lang w:val="en-US" w:eastAsia="zh-CN" w:bidi="ar"/>
          <w14:textFill>
            <w14:solidFill>
              <w14:schemeClr w14:val="tx1"/>
            </w14:solidFill>
          </w14:textFill>
        </w:rPr>
        <w:t>前  言</w:t>
      </w:r>
      <w:bookmarkEnd w:id="0"/>
      <w:bookmarkEnd w:id="1"/>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十三五”时期（2016—2020年），元谋县林草事业在生态保护修复、绿色发展、改革创新和保障体系四方面建设中，齐头并进、成效明显。生态保护修复取得新进展、林业绿色发展迈开新步伐、林业改革创新出台新举措、林业保障能力实现新提升。全县林草系统在县委、县政府的正确领导下，深入学习贯彻落实习近平新时代中国特色社会主义思想，贯彻“创新、协调、绿色、开放、共享”的新发展理念，牢固树立和践行“绿水青山就是金山银山”理念，紧紧围绕全面决战决胜脱贫攻坚、全面建成小康社会的奋斗目标，以及紧紧围绕云南省争当生态文明排头兵、建设最美丽省份和楚雄州“滇中翡翠”建设目标，准确把握林业的新形势新任务，突出生态修复、资源保护、国土绿化、林业改革、产业发展、防灾减灾和基础能力建设，全县林业和草原保护发展保持了良好态势，始终坚持以生态保护为先导，切实推动国土绿化、林草重点领域改革，坚持依法管理森林和草原资源，积极发展绿色惠民生态产业，全面完成了“十三五”规划约束性指标。</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“十四五”时期（2021</w:t>
      </w:r>
      <w:r>
        <w:rPr>
          <w:rFonts w:hint="eastAsia" w:ascii="Times New Roman" w:hAnsi="Times New Roman" w:eastAsia="仿宋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2025年）是我国全面建成小康社会、实现第一个百年奋斗目标之后，乘势而上开启全面建设社会主义现代化国家新征程、向第二个百年奋斗目标进军的第一个五年，是元谋进入新发展阶段、贯彻新发展理念、融入新发展格局，推动实现高质量发展极为关键的五年。</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2020年10月29日</w:t>
      </w:r>
      <w:r>
        <w:rPr>
          <w:rFonts w:hint="eastAsia" w:ascii="Times New Roman" w:hAnsi="Times New Roman" w:eastAsia="仿宋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中国共产党第十九届中央委员会第五次全体会议通过的《中共中央关于制定国民经济和社会发展第十四个五年规划和二O三五年远景目标的建议》将“生态文明建设实现新进步”作为“十四五”时期经济社会发展主要目标之一，明确提出“国土空间开发保护格局得到优化，生产生活方式绿色转型成效显著，能源资源配置更加合理、利用效率大幅提高，主要污染物排放总量持续减少，生态环境持续改善，生态安全屏障更加牢固，城乡人居环境明显改善”。其精神实质与丰富内涵，为科学谋划我县“十四五”林业草原发展规划指明了正确方向，为贯彻新发展理念、构建新发展格局，为推动元谋林草高质量发展、实现高效能林草治理提供了根本保证。习近平总书记考察云南的讲话精神和省委省政府楚雄现场办公会议精神为元谋“十四五”林业和草原发展指明了方向，做好“十四五”规划编制工作意义重大、影响深远。</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为深入贯彻《中共中央关于制定国民经济和社会发展第十四个五年规划和二〇三五年远景目标的建议》《中共中央国务院关于统一规划体系更好发挥规划战略导向作用的意见》、国家林业和草原局关于编制“十四五”发展规划的要求以及《中共云南省委关于制定云南省国民经济和社会发展第十四个五年规划和二〇三五年远景目标的建议》《中共楚雄州委关于制定楚雄彝族自治州国民经济和社会发展第十四个五年规划和二〇三五年远景目标的建议》和《元谋县国民经济和社会发展第十四个五年规划和二〇三五年远景目标纲要》（以下简称《纲要》），《楚雄州贯彻落实省委省政府楚雄现场办公会精神任务清单》，统筹协调涉林草国土空间开发与保护，解决涉林草国土空间开发不平衡的现象，支撑林业治理体系现代化发展的需要，更好地促进“十四五”林业草原各项工作，推进林业草原各项事业和改革向纵深发展，结合全县实际和今后林业草原发展的政策和定位，为构建“一林两江两岸两面山”的绿色生态廊道，筑牢长江经济带金沙江流域元谋段绿色生态屏障，按照“高站位、宽视野、大格局、切实际”的要求，特编制《元谋县“十四五”林业和草原保护发展规划》，旨在指导和推动全县林业草原事业跨越式高质量发展。</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keepNext w:val="0"/>
        <w:keepLines w:val="0"/>
        <w:pageBreakBefore w:val="0"/>
        <w:widowControl w:val="0"/>
        <w:kinsoku/>
        <w:wordWrap/>
        <w:overflowPunct/>
        <w:topLinePunct w:val="0"/>
        <w:autoSpaceDE w:val="0"/>
        <w:autoSpaceDN w:val="0"/>
        <w:bidi w:val="0"/>
        <w:adjustRightInd w:val="0"/>
        <w:snapToGrid/>
        <w:spacing w:before="160" w:beforeLines="50" w:after="160" w:afterLines="50" w:line="600" w:lineRule="exact"/>
        <w:jc w:val="center"/>
        <w:textAlignment w:val="auto"/>
        <w:outlineLvl w:val="0"/>
        <w:rPr>
          <w:rFonts w:hint="eastAsia" w:ascii="方正小标宋简体" w:hAnsi="方正小标宋简体" w:eastAsia="方正小标宋简体" w:cs="方正小标宋简体"/>
          <w:b w:val="0"/>
          <w:bCs/>
          <w:color w:val="000000" w:themeColor="text1"/>
          <w:kern w:val="44"/>
          <w:sz w:val="44"/>
          <w:szCs w:val="44"/>
          <w:lang w:val="en-US" w:eastAsia="zh-CN" w:bidi="ar"/>
          <w14:textFill>
            <w14:solidFill>
              <w14:schemeClr w14:val="tx1"/>
            </w14:solidFill>
          </w14:textFill>
        </w:rPr>
      </w:pPr>
      <w:bookmarkStart w:id="2" w:name="_Toc29438"/>
      <w:bookmarkStart w:id="3" w:name="_Toc22713"/>
      <w:r>
        <w:rPr>
          <w:rFonts w:hint="eastAsia" w:ascii="方正小标宋简体" w:hAnsi="方正小标宋简体" w:eastAsia="方正小标宋简体" w:cs="方正小标宋简体"/>
          <w:b w:val="0"/>
          <w:bCs/>
          <w:color w:val="000000" w:themeColor="text1"/>
          <w:kern w:val="44"/>
          <w:sz w:val="44"/>
          <w:szCs w:val="44"/>
          <w:lang w:val="en-US" w:eastAsia="zh-CN" w:bidi="ar"/>
          <w14:textFill>
            <w14:solidFill>
              <w14:schemeClr w14:val="tx1"/>
            </w14:solidFill>
          </w14:textFill>
        </w:rPr>
        <w:t>第一章  发展基础</w:t>
      </w:r>
      <w:bookmarkEnd w:id="2"/>
      <w:bookmarkEnd w:id="3"/>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十三五”期间，各项规划目标任务全面完成，约束性指标顺利实现。2020年，元谋县森林面积达156.7151万亩，自然湿地保护率达50.1%，治理水土流失面积达4.3650万亩，活立木蓄积量达214.17万立方米，林业总产值达8.26亿元，“十三五”期间新增造林面积53.5380万亩，森林覆盖率从2015年底的43.10%提升到2020年的51.47%，较“十二五”期间上升了8.37个百分点。实现森林资源总量扩张，绿化质量提升，生态质量提高，林业产业进一步发展，生态文化繁荣的可持续发展的城乡绿化一体化。经过不懈努力，林草系统秉持“人不负青山，青山定不负人”信念，初步构建了完备的生态安全体系、高效的产业体系、繁荣的生态文化体系，为“十四五”时期林业和草原高质量发展奠定了良好基础。</w:t>
      </w:r>
    </w:p>
    <w:p>
      <w:pPr>
        <w:pStyle w:val="5"/>
        <w:keepNext/>
        <w:keepLines/>
        <w:pageBreakBefore w:val="0"/>
        <w:widowControl/>
        <w:kinsoku/>
        <w:wordWrap/>
        <w:overflowPunct/>
        <w:topLinePunct w:val="0"/>
        <w:autoSpaceDE/>
        <w:autoSpaceDN/>
        <w:bidi w:val="0"/>
        <w:adjustRightInd/>
        <w:snapToGrid/>
        <w:spacing w:before="477" w:beforeLines="150" w:after="194" w:afterLines="50" w:line="600" w:lineRule="exact"/>
        <w:jc w:val="center"/>
        <w:textAlignment w:val="auto"/>
        <w:rPr>
          <w:rFonts w:hint="eastAsia" w:asciiTheme="minorEastAsia" w:hAnsiTheme="minorEastAsia" w:eastAsiaTheme="minorEastAsia" w:cstheme="minorEastAsia"/>
          <w:b w:val="0"/>
          <w:bCs w:val="0"/>
          <w:color w:val="000000" w:themeColor="text1"/>
          <w:kern w:val="0"/>
          <w:sz w:val="36"/>
          <w:szCs w:val="36"/>
          <w:lang w:val="en-US" w:eastAsia="zh-CN" w:bidi="ar-SA"/>
          <w14:textFill>
            <w14:solidFill>
              <w14:schemeClr w14:val="tx1"/>
            </w14:solidFill>
          </w14:textFill>
        </w:rPr>
      </w:pPr>
      <w:bookmarkStart w:id="4" w:name="_Toc30895"/>
      <w:r>
        <w:rPr>
          <w:rFonts w:hint="eastAsia" w:ascii="方正小标宋简体" w:hAnsi="方正小标宋简体" w:eastAsia="方正小标宋简体" w:cs="方正小标宋简体"/>
          <w:b w:val="0"/>
          <w:bCs w:val="0"/>
          <w:color w:val="000000" w:themeColor="text1"/>
          <w:kern w:val="0"/>
          <w:sz w:val="36"/>
          <w:szCs w:val="36"/>
          <w:lang w:val="en-US" w:eastAsia="zh-CN" w:bidi="ar-SA"/>
          <w14:textFill>
            <w14:solidFill>
              <w14:schemeClr w14:val="tx1"/>
            </w14:solidFill>
          </w14:textFill>
        </w:rPr>
        <w:t>第一节  “十三五”林草建设主要成效</w:t>
      </w:r>
      <w:bookmarkEnd w:id="4"/>
    </w:p>
    <w:p>
      <w:pPr>
        <w:pStyle w:val="38"/>
        <w:pageBreakBefore w:val="0"/>
        <w:kinsoku/>
        <w:wordWrap/>
        <w:overflowPunct/>
        <w:topLinePunct w:val="0"/>
        <w:bidi w:val="0"/>
        <w:spacing w:line="600" w:lineRule="exact"/>
        <w:ind w:firstLine="640"/>
        <w:textAlignment w:val="auto"/>
        <w:rPr>
          <w:rFonts w:hint="eastAsia" w:ascii="黑体" w:hAnsi="黑体" w:eastAsia="黑体" w:cs="黑体"/>
          <w:b w:val="0"/>
          <w:bCs w:val="0"/>
          <w:color w:val="000000" w:themeColor="text1"/>
          <w:highlight w:val="yellow"/>
          <w:lang w:val="en-US" w:eastAsia="zh-CN"/>
          <w14:textFill>
            <w14:solidFill>
              <w14:schemeClr w14:val="tx1"/>
            </w14:solidFill>
          </w14:textFill>
        </w:rPr>
      </w:pPr>
      <w:r>
        <w:rPr>
          <w:rFonts w:hint="eastAsia" w:ascii="黑体" w:hAnsi="黑体" w:eastAsia="黑体" w:cs="黑体"/>
          <w:b w:val="0"/>
          <w:bCs w:val="0"/>
          <w:color w:val="000000" w:themeColor="text1"/>
          <w:kern w:val="2"/>
          <w:sz w:val="32"/>
          <w:szCs w:val="32"/>
          <w:lang w:val="en-US" w:eastAsia="zh-CN" w:bidi="ar-SA"/>
          <w14:textFill>
            <w14:solidFill>
              <w14:schemeClr w14:val="tx1"/>
            </w14:solidFill>
          </w14:textFill>
        </w:rPr>
        <w:t>一、国土绿化成效显著</w:t>
      </w:r>
    </w:p>
    <w:p>
      <w:pPr>
        <w:pStyle w:val="38"/>
        <w:pageBreakBefore w:val="0"/>
        <w:kinsoku/>
        <w:wordWrap/>
        <w:overflowPunct/>
        <w:topLinePunct w:val="0"/>
        <w:bidi w:val="0"/>
        <w:spacing w:line="600" w:lineRule="exact"/>
        <w:ind w:firstLine="640"/>
        <w:textAlignment w:val="auto"/>
        <w:rPr>
          <w:rFonts w:hint="default" w:ascii="楷体_GB2312" w:hAnsi="楷体_GB2312" w:eastAsia="楷体_GB2312" w:cs="楷体_GB2312"/>
          <w:b w:val="0"/>
          <w:bCs w:val="0"/>
          <w:color w:val="000000" w:themeColor="text1"/>
          <w:lang w:val="en-US" w:eastAsia="zh-CN"/>
          <w14:textFill>
            <w14:solidFill>
              <w14:schemeClr w14:val="tx1"/>
            </w14:solidFill>
          </w14:textFill>
        </w:rPr>
      </w:pPr>
      <w:r>
        <w:rPr>
          <w:rFonts w:hint="eastAsia" w:ascii="楷体_GB2312" w:hAnsi="楷体_GB2312" w:eastAsia="楷体_GB2312" w:cs="楷体_GB2312"/>
          <w:b w:val="0"/>
          <w:bCs w:val="0"/>
          <w:color w:val="000000" w:themeColor="text1"/>
          <w:lang w:val="en-US" w:eastAsia="zh-CN"/>
          <w14:textFill>
            <w14:solidFill>
              <w14:schemeClr w14:val="tx1"/>
            </w14:solidFill>
          </w14:textFill>
        </w:rPr>
        <w:t>（一）营造林成果丰硕</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十三五”期间，元谋县林业和草原局以习近平生态文明思想和考察云南重要讲话精神为引领，牢固树立和践行“绿水青山就是金山银山”的理念，按照推进生态文明建设的决策部署，高位推动生态保护与修复工作，开展“绿化发祥地行动”，大力开展植树造林工作。全县共完成营造林19.17万亩，其中：天保公益林建设人工造林1.7万亩、封山育林0.8万亩，巩固退耕还林成果项目新增种植业0.8万亩，新一轮退耕还林1.77万亩、陡坡地生态治理0.9万亩，巩固退耕还林成果荒山及退耕地补植补造2万亩，国家造林补贴项目2.8万亩，国家珍贵用材林造林项目0.4万亩，退化林修复造林项目0.1万亩，低效林改造项目3.5万亩，森林抚育2.7万亩，省级营林木本油料提质增效1.7万亩。积极开展美丽乡村建设，黄瓜园镇雷丁村荣获“全国生态文化村”称号，羊街镇平安、高姑村、凉山乡冷水箐村荣获国家“森林乡村”称号。</w:t>
      </w:r>
    </w:p>
    <w:p>
      <w:pPr>
        <w:pStyle w:val="38"/>
        <w:pageBreakBefore w:val="0"/>
        <w:kinsoku/>
        <w:wordWrap/>
        <w:overflowPunct/>
        <w:topLinePunct w:val="0"/>
        <w:bidi w:val="0"/>
        <w:spacing w:line="600" w:lineRule="exact"/>
        <w:ind w:firstLine="640"/>
        <w:textAlignment w:val="auto"/>
        <w:rPr>
          <w:rFonts w:hint="eastAsia" w:ascii="楷体_GB2312" w:hAnsi="楷体_GB2312" w:eastAsia="楷体_GB2312" w:cs="楷体_GB2312"/>
          <w:b w:val="0"/>
          <w:bCs w:val="0"/>
          <w:color w:val="000000" w:themeColor="text1"/>
          <w:lang w:val="en-US" w:eastAsia="zh-CN"/>
          <w14:textFill>
            <w14:solidFill>
              <w14:schemeClr w14:val="tx1"/>
            </w14:solidFill>
          </w14:textFill>
        </w:rPr>
      </w:pPr>
      <w:r>
        <w:rPr>
          <w:rFonts w:hint="eastAsia" w:ascii="楷体_GB2312" w:hAnsi="楷体_GB2312" w:eastAsia="楷体_GB2312" w:cs="楷体_GB2312"/>
          <w:b w:val="0"/>
          <w:bCs w:val="0"/>
          <w:color w:val="000000" w:themeColor="text1"/>
          <w:lang w:val="en-US" w:eastAsia="zh-CN"/>
          <w14:textFill>
            <w14:solidFill>
              <w14:schemeClr w14:val="tx1"/>
            </w14:solidFill>
          </w14:textFill>
        </w:rPr>
        <w:t>（二）面山造林取得成效</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十三五”期间，重点以城镇近山面山造林为突破口，克难攻坚，通过采取整合项目建设、政府融资代建和倡议社会各界参与等形式筹措资金，大规模组织实施城镇面山造林，在县城东面山规划实施高标准造林1.5万亩，在县城西面山开展义务植树424亩，累计投入资金2100余万元。完成全民义务植树任务380万株、四旁植树任务550万株，占任务数100%。通过城镇面山造林，努力打造天蓝、地绿、山青的宜居环境，让县城靓起来、村庄美起来、荒山绿起来。</w:t>
      </w:r>
    </w:p>
    <w:p>
      <w:pPr>
        <w:pStyle w:val="38"/>
        <w:pageBreakBefore w:val="0"/>
        <w:kinsoku/>
        <w:wordWrap/>
        <w:overflowPunct/>
        <w:topLinePunct w:val="0"/>
        <w:bidi w:val="0"/>
        <w:spacing w:line="600" w:lineRule="exact"/>
        <w:ind w:firstLine="640"/>
        <w:textAlignment w:val="auto"/>
        <w:rPr>
          <w:rFonts w:hint="eastAsia" w:ascii="楷体_GB2312" w:hAnsi="楷体_GB2312" w:eastAsia="楷体_GB2312" w:cs="楷体_GB2312"/>
          <w:b w:val="0"/>
          <w:bCs w:val="0"/>
          <w:color w:val="000000" w:themeColor="text1"/>
          <w:lang w:val="zh-CN" w:eastAsia="zh-CN"/>
          <w14:textFill>
            <w14:solidFill>
              <w14:schemeClr w14:val="tx1"/>
            </w14:solidFill>
          </w14:textFill>
        </w:rPr>
      </w:pPr>
      <w:r>
        <w:rPr>
          <w:rFonts w:hint="eastAsia" w:ascii="楷体_GB2312" w:hAnsi="楷体_GB2312" w:eastAsia="楷体_GB2312" w:cs="楷体_GB2312"/>
          <w:b w:val="0"/>
          <w:bCs w:val="0"/>
          <w:color w:val="000000" w:themeColor="text1"/>
          <w:lang w:val="en-US" w:eastAsia="zh-CN"/>
          <w14:textFill>
            <w14:solidFill>
              <w14:schemeClr w14:val="tx1"/>
            </w14:solidFill>
          </w14:textFill>
        </w:rPr>
        <w:t>（三）</w:t>
      </w:r>
      <w:r>
        <w:rPr>
          <w:rFonts w:hint="eastAsia" w:ascii="楷体_GB2312" w:hAnsi="楷体_GB2312" w:eastAsia="楷体_GB2312" w:cs="楷体_GB2312"/>
          <w:b w:val="0"/>
          <w:bCs w:val="0"/>
          <w:color w:val="000000" w:themeColor="text1"/>
          <w:lang w:val="zh-CN" w:eastAsia="zh-CN"/>
          <w14:textFill>
            <w14:solidFill>
              <w14:schemeClr w14:val="tx1"/>
            </w14:solidFill>
          </w14:textFill>
        </w:rPr>
        <w:t>推动林业生态项目建设</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方正仿宋_GB2312" w:hAnsi="方正仿宋_GB2312" w:eastAsia="方正仿宋_GB2312" w:cs="方正仿宋_GB2312"/>
          <w:color w:val="000000" w:themeColor="text1"/>
          <w:kern w:val="0"/>
          <w:sz w:val="32"/>
          <w:szCs w:val="32"/>
          <w:lang w:val="zh-CN" w:eastAsia="zh-CN"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“十三五”期间，积极创新林业投融资模式，解决林业发展资金短缺问题，采取政府融资代建</w:t>
      </w:r>
      <w:r>
        <w:rPr>
          <w:rFonts w:hint="default" w:ascii="Times New Roman" w:hAnsi="Times New Roman" w:eastAsia="仿宋_GB2312" w:cs="Times New Roman"/>
          <w:color w:val="000000" w:themeColor="text1"/>
          <w:kern w:val="0"/>
          <w:sz w:val="32"/>
          <w:szCs w:val="32"/>
          <w:lang w:val="zh-CN" w:eastAsia="zh-CN" w:bidi="ar"/>
          <w14:textFill>
            <w14:solidFill>
              <w14:schemeClr w14:val="tx1"/>
            </w14:solidFill>
          </w14:textFill>
        </w:rPr>
        <w:t>PPP模式，积极推进</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总投资为93469.95万元的</w:t>
      </w:r>
      <w:r>
        <w:rPr>
          <w:rFonts w:hint="default" w:ascii="Times New Roman" w:hAnsi="Times New Roman" w:eastAsia="仿宋_GB2312" w:cs="Times New Roman"/>
          <w:color w:val="000000" w:themeColor="text1"/>
          <w:kern w:val="0"/>
          <w:sz w:val="32"/>
          <w:szCs w:val="32"/>
          <w:lang w:val="zh-CN" w:eastAsia="zh-CN" w:bidi="ar"/>
          <w14:textFill>
            <w14:solidFill>
              <w14:schemeClr w14:val="tx1"/>
            </w14:solidFill>
          </w14:textFill>
        </w:rPr>
        <w:t>谋县</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国家储备林等林业生态建设项目，项目建设内容主要包括木材基地建设、通道绿化建设、湿地公园建设、美丽乡村建设、林木种苗建设、基础设施建设等6个方面，在“十三五”期间完成投资11892.47万元。其中，通道绿化建设完成投资1096.9万元、湿地地公园建设完成投资4625万元、美丽乡村建设完成投资175.44万元、苗圃基地建设完成投资148.42万元、木材基地建设完成投资3767.21万元、基础设施建设完成投资945.4万元。林地流转签订林地流转协议29份，流转林地面积19729.91亩，兑付林地流转资金1134.1万元。</w:t>
      </w:r>
    </w:p>
    <w:p>
      <w:pPr>
        <w:pStyle w:val="8"/>
        <w:keepNext w:val="0"/>
        <w:keepLines w:val="0"/>
        <w:pageBreakBefore w:val="0"/>
        <w:widowControl w:val="0"/>
        <w:numPr>
          <w:ilvl w:val="0"/>
          <w:numId w:val="1"/>
        </w:numPr>
        <w:kinsoku/>
        <w:wordWrap/>
        <w:overflowPunct/>
        <w:topLinePunct w:val="0"/>
        <w:autoSpaceDE/>
        <w:autoSpaceDN/>
        <w:bidi w:val="0"/>
        <w:adjustRightInd/>
        <w:snapToGrid w:val="0"/>
        <w:spacing w:line="600" w:lineRule="exact"/>
        <w:ind w:firstLine="556"/>
        <w:textAlignment w:val="auto"/>
        <w:rPr>
          <w:rFonts w:hint="eastAsia" w:ascii="黑体" w:hAnsi="黑体" w:eastAsia="黑体" w:cs="黑体"/>
          <w:b w:val="0"/>
          <w:bCs w:val="0"/>
          <w:color w:val="000000" w:themeColor="text1"/>
          <w:kern w:val="2"/>
          <w:sz w:val="32"/>
          <w:szCs w:val="32"/>
          <w:lang w:val="en-US" w:eastAsia="zh-CN" w:bidi="ar-SA"/>
          <w14:textFill>
            <w14:solidFill>
              <w14:schemeClr w14:val="tx1"/>
            </w14:solidFill>
          </w14:textFill>
        </w:rPr>
      </w:pPr>
      <w:r>
        <w:rPr>
          <w:rFonts w:hint="eastAsia" w:ascii="黑体" w:hAnsi="黑体" w:eastAsia="黑体" w:cs="黑体"/>
          <w:b w:val="0"/>
          <w:bCs w:val="0"/>
          <w:color w:val="000000" w:themeColor="text1"/>
          <w:kern w:val="2"/>
          <w:sz w:val="32"/>
          <w:szCs w:val="32"/>
          <w:lang w:val="en-US" w:eastAsia="zh-CN" w:bidi="ar-SA"/>
          <w14:textFill>
            <w14:solidFill>
              <w14:schemeClr w14:val="tx1"/>
            </w14:solidFill>
          </w14:textFill>
        </w:rPr>
        <w:t>森林保护得到加强</w:t>
      </w:r>
    </w:p>
    <w:p>
      <w:pPr>
        <w:pStyle w:val="38"/>
        <w:pageBreakBefore w:val="0"/>
        <w:kinsoku/>
        <w:wordWrap/>
        <w:overflowPunct/>
        <w:topLinePunct w:val="0"/>
        <w:bidi w:val="0"/>
        <w:spacing w:line="600" w:lineRule="exact"/>
        <w:ind w:firstLine="640"/>
        <w:textAlignment w:val="auto"/>
        <w:rPr>
          <w:rFonts w:hint="eastAsia" w:ascii="楷体_GB2312" w:hAnsi="楷体_GB2312" w:eastAsia="楷体_GB2312" w:cs="楷体_GB2312"/>
          <w:b w:val="0"/>
          <w:bCs w:val="0"/>
          <w:color w:val="000000" w:themeColor="text1"/>
          <w:lang w:val="en-US" w:eastAsia="zh-CN"/>
          <w14:textFill>
            <w14:solidFill>
              <w14:schemeClr w14:val="tx1"/>
            </w14:solidFill>
          </w14:textFill>
        </w:rPr>
      </w:pPr>
      <w:r>
        <w:rPr>
          <w:rFonts w:hint="eastAsia" w:ascii="楷体_GB2312" w:hAnsi="楷体_GB2312" w:eastAsia="楷体_GB2312" w:cs="楷体_GB2312"/>
          <w:b w:val="0"/>
          <w:bCs w:val="0"/>
          <w:color w:val="000000" w:themeColor="text1"/>
          <w:lang w:val="en-US" w:eastAsia="zh-CN"/>
          <w14:textFill>
            <w14:solidFill>
              <w14:schemeClr w14:val="tx1"/>
            </w14:solidFill>
          </w14:textFill>
        </w:rPr>
        <w:t>（一）生态建设稳步提升</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十三五”期间，全县林地面积209.06万亩、草地面积52.1798万亩、湿地面积6.01万亩。实施天保工程建设森林管护129.2万亩，实施生态效益补偿面积127.1万亩。建立统一管护机制，每年聘请地方护林员508人，实行乡聘、乡管、乡用，一年一聘。实施森林生态效益补偿，补偿面积127.07万亩，每年补偿资金1856.21万元。全县水土流失明显降低，森林覆盖率不断提升，生态环境明显改善。</w:t>
      </w:r>
    </w:p>
    <w:p>
      <w:pPr>
        <w:pStyle w:val="38"/>
        <w:pageBreakBefore w:val="0"/>
        <w:kinsoku/>
        <w:wordWrap/>
        <w:overflowPunct/>
        <w:topLinePunct w:val="0"/>
        <w:bidi w:val="0"/>
        <w:spacing w:line="600" w:lineRule="exact"/>
        <w:ind w:firstLine="640"/>
        <w:textAlignment w:val="auto"/>
        <w:rPr>
          <w:rFonts w:hint="eastAsia" w:ascii="楷体_GB2312" w:hAnsi="楷体_GB2312" w:eastAsia="楷体_GB2312" w:cs="楷体_GB2312"/>
          <w:b w:val="0"/>
          <w:bCs w:val="0"/>
          <w:color w:val="000000" w:themeColor="text1"/>
          <w:lang w:val="en-US" w:eastAsia="zh-CN"/>
          <w14:textFill>
            <w14:solidFill>
              <w14:schemeClr w14:val="tx1"/>
            </w14:solidFill>
          </w14:textFill>
        </w:rPr>
      </w:pPr>
      <w:r>
        <w:rPr>
          <w:rFonts w:hint="eastAsia" w:ascii="楷体_GB2312" w:hAnsi="楷体_GB2312" w:eastAsia="楷体_GB2312" w:cs="楷体_GB2312"/>
          <w:b w:val="0"/>
          <w:bCs w:val="0"/>
          <w:color w:val="000000" w:themeColor="text1"/>
          <w:lang w:val="en-US" w:eastAsia="zh-CN"/>
          <w14:textFill>
            <w14:solidFill>
              <w14:schemeClr w14:val="tx1"/>
            </w14:solidFill>
          </w14:textFill>
        </w:rPr>
        <w:t>（二）资源管理持续加强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加强林地用途管制。“十三五”期间征占用林地项目137个,林地面积2.9440万亩，收取森林植被恢复费18397.62万元，减免森林植被恢复费2410.40万元，临时占用林地应收取森林植被恢复费492.86万元。抓实森林督查工作。经县林草局、县森林公安局和10乡镇合力攻坚，在2018年至2020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森林督查疑似图斑共</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1285</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个，</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共查处森林督查案件183件，罚款金额119.75895万元。加强林业和草原有害生物监测与防治。全县累计发生各类发生森林病虫害面积14.71万亩，防治面积14.293万亩，防治率达97.16%，发生率2.66%，成灾率2.23‰。组织开展了第三次林业主要有害生物普查工作，查明我县主要危害林业虫害13种、病害4种。开展林业植物检疫执法行动，</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检疫各类苗木71</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6.4万株，产地检疫率达100%。扎实开展森林防火工作，切实做到“六个到位”，“十三五”期间全县未发生较大以上森林火灾和人员伤亡事故，森林草原防灭火形势总体保持平稳。</w:t>
      </w:r>
    </w:p>
    <w:p>
      <w:pPr>
        <w:pStyle w:val="38"/>
        <w:pageBreakBefore w:val="0"/>
        <w:kinsoku/>
        <w:wordWrap/>
        <w:overflowPunct/>
        <w:topLinePunct w:val="0"/>
        <w:bidi w:val="0"/>
        <w:spacing w:line="600" w:lineRule="exact"/>
        <w:ind w:firstLine="640"/>
        <w:textAlignment w:val="auto"/>
        <w:rPr>
          <w:rFonts w:hint="eastAsia" w:ascii="楷体_GB2312" w:hAnsi="楷体_GB2312" w:eastAsia="楷体_GB2312" w:cs="楷体_GB2312"/>
          <w:b w:val="0"/>
          <w:bCs w:val="0"/>
          <w:color w:val="000000" w:themeColor="text1"/>
          <w:lang w:val="en-US" w:eastAsia="zh-CN"/>
          <w14:textFill>
            <w14:solidFill>
              <w14:schemeClr w14:val="tx1"/>
            </w14:solidFill>
          </w14:textFill>
        </w:rPr>
      </w:pPr>
      <w:r>
        <w:rPr>
          <w:rFonts w:hint="eastAsia" w:ascii="楷体_GB2312" w:hAnsi="楷体_GB2312" w:eastAsia="楷体_GB2312" w:cs="楷体_GB2312"/>
          <w:b w:val="0"/>
          <w:bCs w:val="0"/>
          <w:color w:val="000000" w:themeColor="text1"/>
          <w:lang w:val="en-US" w:eastAsia="zh-CN"/>
          <w14:textFill>
            <w14:solidFill>
              <w14:schemeClr w14:val="tx1"/>
            </w14:solidFill>
          </w14:textFill>
        </w:rPr>
        <w:t>（三）依法行政力度加强</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color w:val="000000" w:themeColor="text1"/>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严格林业行政执法，森林公安、林政稽查大队紧紧围绕林业改革发展大局，扎实开展森林督查、绿卫行动、保护野生动植物和打击毁林种茶违法占用林地等专项行动，加强林业执法能力建设，严厉打击涉林违法行为，全力维护我县森林生态安全。“十三五”期间，县森林公安局与林政稽查大队共出动警车565辆次，警力1471人次，查处各类森林案件357件。严格林地、林木资源保护利用管理。通过依法办理上报工程建设项目永久征收林地手续，严肃查处违法占用林地案件等措施，使森林资源得到有效保护。</w:t>
      </w:r>
    </w:p>
    <w:p>
      <w:pPr>
        <w:pStyle w:val="8"/>
        <w:numPr>
          <w:ilvl w:val="0"/>
          <w:numId w:val="1"/>
        </w:numPr>
        <w:rPr>
          <w:rFonts w:hint="eastAsia" w:ascii="黑体" w:hAnsi="黑体" w:eastAsia="黑体" w:cs="黑体"/>
          <w:b w:val="0"/>
          <w:bCs w:val="0"/>
          <w:color w:val="000000" w:themeColor="text1"/>
          <w:kern w:val="2"/>
          <w:sz w:val="32"/>
          <w:szCs w:val="32"/>
          <w:lang w:val="en-US" w:eastAsia="zh-CN" w:bidi="ar-SA"/>
          <w14:textFill>
            <w14:solidFill>
              <w14:schemeClr w14:val="tx1"/>
            </w14:solidFill>
          </w14:textFill>
        </w:rPr>
      </w:pPr>
      <w:r>
        <w:rPr>
          <w:rFonts w:hint="eastAsia" w:ascii="黑体" w:hAnsi="黑体" w:eastAsia="黑体" w:cs="黑体"/>
          <w:b w:val="0"/>
          <w:bCs w:val="0"/>
          <w:color w:val="000000" w:themeColor="text1"/>
          <w:kern w:val="2"/>
          <w:sz w:val="32"/>
          <w:szCs w:val="32"/>
          <w:lang w:val="en-US" w:eastAsia="zh-CN" w:bidi="ar-SA"/>
          <w14:textFill>
            <w14:solidFill>
              <w14:schemeClr w14:val="tx1"/>
            </w14:solidFill>
          </w14:textFill>
        </w:rPr>
        <w:t>深入推进林业改革</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color w:val="000000" w:themeColor="text1"/>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推进林权流转工作。完成林权流转19宗（企事13户、个人6户），流转面积28541.1亩，补证登记12起。深化国有林场改革，</w:t>
      </w:r>
      <w:r>
        <w:rPr>
          <w:rFonts w:hint="default" w:ascii="Times New Roman" w:hAnsi="Times New Roman" w:eastAsia="仿宋_GB2312" w:cs="Times New Roman"/>
          <w:color w:val="000000" w:themeColor="text1"/>
          <w:kern w:val="0"/>
          <w:sz w:val="32"/>
          <w:szCs w:val="32"/>
          <w:lang w:val="zh-CN" w:eastAsia="zh-CN" w:bidi="ar"/>
          <w14:textFill>
            <w14:solidFill>
              <w14:schemeClr w14:val="tx1"/>
            </w14:solidFill>
          </w14:textFill>
        </w:rPr>
        <w:t>撤销元谋县大哨林场、元谋县鸡冠山林场</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和</w:t>
      </w:r>
      <w:r>
        <w:rPr>
          <w:rFonts w:hint="default" w:ascii="Times New Roman" w:hAnsi="Times New Roman" w:eastAsia="仿宋_GB2312" w:cs="Times New Roman"/>
          <w:color w:val="000000" w:themeColor="text1"/>
          <w:kern w:val="0"/>
          <w:sz w:val="32"/>
          <w:szCs w:val="32"/>
          <w:lang w:val="zh-CN" w:eastAsia="zh-CN" w:bidi="ar"/>
          <w14:textFill>
            <w14:solidFill>
              <w14:schemeClr w14:val="tx1"/>
            </w14:solidFill>
          </w14:textFill>
        </w:rPr>
        <w:t>元谋县丙令林场，新成立元谋县国有林场，</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下设三个分场，</w:t>
      </w:r>
      <w:r>
        <w:rPr>
          <w:rFonts w:hint="default" w:ascii="Times New Roman" w:hAnsi="Times New Roman" w:eastAsia="仿宋_GB2312" w:cs="Times New Roman"/>
          <w:color w:val="000000" w:themeColor="text1"/>
          <w:kern w:val="0"/>
          <w:sz w:val="32"/>
          <w:szCs w:val="32"/>
          <w:lang w:val="zh-CN" w:eastAsia="zh-CN" w:bidi="ar"/>
          <w14:textFill>
            <w14:solidFill>
              <w14:schemeClr w14:val="tx1"/>
            </w14:solidFill>
          </w14:textFill>
        </w:rPr>
        <w:t>核定事业编制17名，</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建立健全森林资源管护、森林防火、生态保护等各项规章制度，加强与科研院所合作，与中国林科院资源昆虫研究所初步达成科研合作意向。推进</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自然保护区管</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理体制改革，成立了元谋县土林州</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级自然保护区管理</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局和元谋县土林</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州级自然保护区管护</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局，管护局</w:t>
      </w:r>
      <w:r>
        <w:rPr>
          <w:rFonts w:hint="default" w:ascii="Times New Roman" w:hAnsi="Times New Roman" w:eastAsia="仿宋_GB2312" w:cs="Times New Roman"/>
          <w:color w:val="000000" w:themeColor="text1"/>
          <w:kern w:val="0"/>
          <w:sz w:val="32"/>
          <w:szCs w:val="32"/>
          <w:lang w:val="zh-CN" w:eastAsia="zh-CN" w:bidi="ar"/>
          <w14:textFill>
            <w14:solidFill>
              <w14:schemeClr w14:val="tx1"/>
            </w14:solidFill>
          </w14:textFill>
        </w:rPr>
        <w:t>核定事业编制</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11</w:t>
      </w:r>
      <w:r>
        <w:rPr>
          <w:rFonts w:hint="default" w:ascii="Times New Roman" w:hAnsi="Times New Roman" w:eastAsia="仿宋_GB2312" w:cs="Times New Roman"/>
          <w:color w:val="000000" w:themeColor="text1"/>
          <w:kern w:val="0"/>
          <w:sz w:val="32"/>
          <w:szCs w:val="32"/>
          <w:lang w:val="zh-CN" w:eastAsia="zh-CN" w:bidi="ar"/>
          <w14:textFill>
            <w14:solidFill>
              <w14:schemeClr w14:val="tx1"/>
            </w14:solidFill>
          </w14:textFill>
        </w:rPr>
        <w:t>名，领导班子一正二副，通过</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配强领导班子，土林保护区管理得到进一步加强。深化“放管服”改革。梳理公布权力清单和责任清单157项，其中，录入行政许可17项、行政处罚122项、行政征收3项、行政检查15项，行政事项在线审核审批工作全面推进。</w:t>
      </w:r>
    </w:p>
    <w:p>
      <w:pPr>
        <w:pStyle w:val="8"/>
        <w:keepNext w:val="0"/>
        <w:keepLines w:val="0"/>
        <w:pageBreakBefore w:val="0"/>
        <w:widowControl w:val="0"/>
        <w:numPr>
          <w:ilvl w:val="0"/>
          <w:numId w:val="1"/>
        </w:numPr>
        <w:kinsoku/>
        <w:wordWrap/>
        <w:overflowPunct/>
        <w:topLinePunct w:val="0"/>
        <w:autoSpaceDE/>
        <w:autoSpaceDN/>
        <w:bidi w:val="0"/>
        <w:adjustRightInd/>
        <w:snapToGrid w:val="0"/>
        <w:spacing w:line="600" w:lineRule="exact"/>
        <w:ind w:firstLine="556"/>
        <w:textAlignment w:val="auto"/>
        <w:rPr>
          <w:rFonts w:hint="eastAsia" w:ascii="黑体" w:hAnsi="黑体" w:eastAsia="黑体" w:cs="黑体"/>
          <w:b w:val="0"/>
          <w:bCs w:val="0"/>
          <w:color w:val="000000" w:themeColor="text1"/>
          <w:kern w:val="2"/>
          <w:sz w:val="32"/>
          <w:szCs w:val="32"/>
          <w:lang w:val="en-US" w:eastAsia="zh-CN" w:bidi="ar-SA"/>
          <w14:textFill>
            <w14:solidFill>
              <w14:schemeClr w14:val="tx1"/>
            </w14:solidFill>
          </w14:textFill>
        </w:rPr>
      </w:pPr>
      <w:r>
        <w:rPr>
          <w:rFonts w:hint="eastAsia" w:ascii="黑体" w:hAnsi="黑体" w:eastAsia="黑体" w:cs="黑体"/>
          <w:b w:val="0"/>
          <w:bCs w:val="0"/>
          <w:color w:val="000000" w:themeColor="text1"/>
          <w:kern w:val="2"/>
          <w:sz w:val="32"/>
          <w:szCs w:val="32"/>
          <w:lang w:val="en-US" w:eastAsia="zh-CN" w:bidi="ar-SA"/>
          <w14:textFill>
            <w14:solidFill>
              <w14:schemeClr w14:val="tx1"/>
            </w14:solidFill>
          </w14:textFill>
        </w:rPr>
        <w:t>生态扶贫成效明显</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“十三五”期间，</w:t>
      </w:r>
      <w:r>
        <w:rPr>
          <w:rFonts w:hint="default" w:ascii="Times New Roman" w:hAnsi="Times New Roman" w:eastAsia="仿宋_GB2312" w:cs="Times New Roman"/>
          <w:color w:val="000000" w:themeColor="text1"/>
          <w:kern w:val="0"/>
          <w:sz w:val="32"/>
          <w:szCs w:val="32"/>
          <w:lang w:val="zh-CN" w:eastAsia="zh-CN" w:bidi="ar"/>
          <w14:textFill>
            <w14:solidFill>
              <w14:schemeClr w14:val="tx1"/>
            </w14:solidFill>
          </w14:textFill>
        </w:rPr>
        <w:t>元谋县林业和草原局充分发挥林草行业优势，充分调动人力、物力、财力，大力实施林业产业扶贫、生态护林扶贫、生态补偿扶贫等脱贫致富项目，进一步拓宽全县贫困群众增收致富渠道，为行业扶贫涂抹浓厚色彩。充分发挥行业扶贫作用，在实施天保工程、退耕还林工程、陡坡地生态治理等林业重点项目时，做到“三结合”原则，结合于贫困乡、贫困村和建档立卡贫困户，项目优先向贫困地区倾斜，助推贫困乡、贫困村如期脱贫出列，持续扶持广大群众增收致富。在确保完成生态补偿脱贫一批任务的同时，积极争取生态扶贫项目资金投入，有效增加贫困户收入，持续巩固脱贫攻坚成果。2015-2020年全县林业生态扶贫项目总投资14226.94万元，惠及</w:t>
      </w:r>
      <w:r>
        <w:rPr>
          <w:rFonts w:hint="default" w:ascii="Times New Roman" w:hAnsi="Times New Roman" w:eastAsia="仿宋_GB2312" w:cs="Times New Roman"/>
          <w:color w:val="000000" w:themeColor="text1"/>
          <w:kern w:val="0"/>
          <w:sz w:val="32"/>
          <w:szCs w:val="32"/>
          <w:highlight w:val="none"/>
          <w:lang w:val="zh-CN" w:eastAsia="zh-CN" w:bidi="ar"/>
          <w14:textFill>
            <w14:solidFill>
              <w14:schemeClr w14:val="tx1"/>
            </w14:solidFill>
          </w14:textFill>
        </w:rPr>
        <w:t>建档立卡贫困户</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4255</w:t>
      </w:r>
      <w:r>
        <w:rPr>
          <w:rFonts w:hint="default" w:ascii="Times New Roman" w:hAnsi="Times New Roman" w:eastAsia="仿宋_GB2312" w:cs="Times New Roman"/>
          <w:color w:val="000000" w:themeColor="text1"/>
          <w:kern w:val="0"/>
          <w:sz w:val="32"/>
          <w:szCs w:val="32"/>
          <w:highlight w:val="none"/>
          <w:lang w:val="zh-CN" w:eastAsia="zh-CN" w:bidi="ar"/>
          <w14:textFill>
            <w14:solidFill>
              <w14:schemeClr w14:val="tx1"/>
            </w14:solidFill>
          </w14:textFill>
        </w:rPr>
        <w:t>户</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13772</w:t>
      </w:r>
      <w:r>
        <w:rPr>
          <w:rFonts w:hint="default" w:ascii="Times New Roman" w:hAnsi="Times New Roman" w:eastAsia="仿宋_GB2312" w:cs="Times New Roman"/>
          <w:color w:val="000000" w:themeColor="text1"/>
          <w:kern w:val="0"/>
          <w:sz w:val="32"/>
          <w:szCs w:val="32"/>
          <w:highlight w:val="none"/>
          <w:lang w:val="zh-CN" w:eastAsia="zh-CN" w:bidi="ar"/>
          <w14:textFill>
            <w14:solidFill>
              <w14:schemeClr w14:val="tx1"/>
            </w14:solidFill>
          </w14:textFill>
        </w:rPr>
        <w:t>人，</w:t>
      </w:r>
      <w:r>
        <w:rPr>
          <w:rFonts w:hint="default" w:ascii="Times New Roman" w:hAnsi="Times New Roman" w:eastAsia="仿宋_GB2312" w:cs="Times New Roman"/>
          <w:color w:val="000000" w:themeColor="text1"/>
          <w:kern w:val="0"/>
          <w:sz w:val="32"/>
          <w:szCs w:val="32"/>
          <w:lang w:val="zh-CN" w:eastAsia="zh-CN" w:bidi="ar"/>
          <w14:textFill>
            <w14:solidFill>
              <w14:schemeClr w14:val="tx1"/>
            </w14:solidFill>
          </w14:textFill>
        </w:rPr>
        <w:t>补助资金达3176.8</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7</w:t>
      </w:r>
      <w:r>
        <w:rPr>
          <w:rFonts w:hint="default" w:ascii="Times New Roman" w:hAnsi="Times New Roman" w:eastAsia="仿宋_GB2312" w:cs="Times New Roman"/>
          <w:color w:val="000000" w:themeColor="text1"/>
          <w:kern w:val="0"/>
          <w:sz w:val="32"/>
          <w:szCs w:val="32"/>
          <w:lang w:val="zh-CN" w:eastAsia="zh-CN" w:bidi="ar"/>
          <w14:textFill>
            <w14:solidFill>
              <w14:schemeClr w14:val="tx1"/>
            </w14:solidFill>
          </w14:textFill>
        </w:rPr>
        <w:t>万元，户均补助达5542元。扶持山区广大群众特别是建档立卡贫困户，大力发展特色经济林果种植，全县林业生态扶贫项目新发展种植特色经济林果4</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val="zh-CN" w:eastAsia="zh-CN" w:bidi="ar"/>
          <w14:textFill>
            <w14:solidFill>
              <w14:schemeClr w14:val="tx1"/>
            </w14:solidFill>
          </w14:textFill>
        </w:rPr>
        <w:t>299</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7万</w:t>
      </w:r>
      <w:r>
        <w:rPr>
          <w:rFonts w:hint="default" w:ascii="Times New Roman" w:hAnsi="Times New Roman" w:eastAsia="仿宋_GB2312" w:cs="Times New Roman"/>
          <w:color w:val="000000" w:themeColor="text1"/>
          <w:kern w:val="0"/>
          <w:sz w:val="32"/>
          <w:szCs w:val="32"/>
          <w:lang w:val="zh-CN" w:eastAsia="zh-CN" w:bidi="ar"/>
          <w14:textFill>
            <w14:solidFill>
              <w14:schemeClr w14:val="tx1"/>
            </w14:solidFill>
          </w14:textFill>
        </w:rPr>
        <w:t>亩。</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2017年、2018年和2020年县林业和草原局被县扶贫开发领导小组表彰为扶贫先进单位。</w:t>
      </w:r>
    </w:p>
    <w:p>
      <w:pPr>
        <w:pStyle w:val="8"/>
        <w:keepNext w:val="0"/>
        <w:keepLines w:val="0"/>
        <w:pageBreakBefore w:val="0"/>
        <w:widowControl w:val="0"/>
        <w:numPr>
          <w:ilvl w:val="0"/>
          <w:numId w:val="1"/>
        </w:numPr>
        <w:kinsoku/>
        <w:wordWrap/>
        <w:overflowPunct/>
        <w:topLinePunct w:val="0"/>
        <w:autoSpaceDE/>
        <w:autoSpaceDN/>
        <w:bidi w:val="0"/>
        <w:adjustRightInd/>
        <w:snapToGrid w:val="0"/>
        <w:spacing w:line="600" w:lineRule="exact"/>
        <w:ind w:firstLine="640" w:firstLineChars="200"/>
        <w:textAlignment w:val="auto"/>
        <w:rPr>
          <w:rFonts w:hint="eastAsia" w:ascii="黑体" w:hAnsi="黑体" w:eastAsia="黑体" w:cs="黑体"/>
          <w:b w:val="0"/>
          <w:bCs w:val="0"/>
          <w:color w:val="000000" w:themeColor="text1"/>
          <w:kern w:val="2"/>
          <w:sz w:val="32"/>
          <w:szCs w:val="32"/>
          <w:lang w:val="en-US" w:eastAsia="zh-CN" w:bidi="ar-SA"/>
          <w14:textFill>
            <w14:solidFill>
              <w14:schemeClr w14:val="tx1"/>
            </w14:solidFill>
          </w14:textFill>
        </w:rPr>
      </w:pPr>
      <w:r>
        <w:rPr>
          <w:rFonts w:hint="eastAsia" w:ascii="黑体" w:hAnsi="黑体" w:eastAsia="黑体" w:cs="黑体"/>
          <w:b w:val="0"/>
          <w:bCs w:val="0"/>
          <w:color w:val="000000" w:themeColor="text1"/>
          <w:kern w:val="2"/>
          <w:sz w:val="32"/>
          <w:szCs w:val="32"/>
          <w:lang w:val="en-US" w:eastAsia="zh-CN" w:bidi="ar-SA"/>
          <w14:textFill>
            <w14:solidFill>
              <w14:schemeClr w14:val="tx1"/>
            </w14:solidFill>
          </w14:textFill>
        </w:rPr>
        <w:t>基础保障设施建设不断提升</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十三五”期间，共投入1415万元，提升基础设施建设。投资320万元对3个国有林场分场进行改造，投资440万元新建羊街镇、新华乡等6个乡镇管护所，投资230万元，建设姜驿半箐、羊街平安、大哨公山等7个管护点，建筑面积1300平方米，投资400万元建设开通森林防火野外视频监控84个，使得全县75％的林地得到有效监控，每年组建县乡两级专业扑火队员260人。</w:t>
      </w:r>
    </w:p>
    <w:p>
      <w:pPr>
        <w:pStyle w:val="5"/>
        <w:keepNext/>
        <w:keepLines/>
        <w:pageBreakBefore w:val="0"/>
        <w:widowControl/>
        <w:kinsoku/>
        <w:wordWrap/>
        <w:overflowPunct/>
        <w:topLinePunct w:val="0"/>
        <w:autoSpaceDE/>
        <w:autoSpaceDN/>
        <w:bidi w:val="0"/>
        <w:adjustRightInd/>
        <w:snapToGrid/>
        <w:spacing w:before="194" w:beforeLines="50" w:after="194" w:afterLines="50" w:line="600" w:lineRule="exact"/>
        <w:jc w:val="center"/>
        <w:textAlignment w:val="auto"/>
        <w:rPr>
          <w:rFonts w:hint="eastAsia" w:ascii="方正小标宋简体" w:hAnsi="方正小标宋简体" w:eastAsia="方正小标宋简体" w:cs="方正小标宋简体"/>
          <w:b w:val="0"/>
          <w:bCs w:val="0"/>
          <w:color w:val="000000" w:themeColor="text1"/>
          <w:sz w:val="36"/>
          <w:szCs w:val="36"/>
          <w:lang w:val="en-US" w:eastAsia="zh-CN"/>
          <w14:textFill>
            <w14:solidFill>
              <w14:schemeClr w14:val="tx1"/>
            </w14:solidFill>
          </w14:textFill>
        </w:rPr>
      </w:pPr>
      <w:bookmarkStart w:id="5" w:name="_Toc5158"/>
      <w:bookmarkStart w:id="6" w:name="_Toc26875"/>
      <w:r>
        <w:rPr>
          <w:rFonts w:hint="eastAsia" w:ascii="方正小标宋简体" w:hAnsi="方正小标宋简体" w:eastAsia="方正小标宋简体" w:cs="方正小标宋简体"/>
          <w:b w:val="0"/>
          <w:bCs w:val="0"/>
          <w:color w:val="000000" w:themeColor="text1"/>
          <w:kern w:val="0"/>
          <w:sz w:val="36"/>
          <w:szCs w:val="36"/>
          <w:lang w:val="en-US" w:eastAsia="zh-CN" w:bidi="ar-SA"/>
          <w14:textFill>
            <w14:solidFill>
              <w14:schemeClr w14:val="tx1"/>
            </w14:solidFill>
          </w14:textFill>
        </w:rPr>
        <w:t xml:space="preserve">第二节  </w:t>
      </w:r>
      <w:r>
        <w:rPr>
          <w:rFonts w:hint="eastAsia" w:ascii="方正小标宋简体" w:hAnsi="方正小标宋简体" w:eastAsia="方正小标宋简体" w:cs="方正小标宋简体"/>
          <w:b w:val="0"/>
          <w:bCs w:val="0"/>
          <w:strike w:val="0"/>
          <w:dstrike w:val="0"/>
          <w:color w:val="000000" w:themeColor="text1"/>
          <w:kern w:val="0"/>
          <w:sz w:val="36"/>
          <w:szCs w:val="36"/>
          <w:lang w:val="en-US" w:eastAsia="zh-CN" w:bidi="ar-SA"/>
          <w14:textFill>
            <w14:solidFill>
              <w14:schemeClr w14:val="tx1"/>
            </w14:solidFill>
          </w14:textFill>
        </w:rPr>
        <w:t>存在问题</w:t>
      </w:r>
      <w:bookmarkEnd w:id="5"/>
      <w:bookmarkEnd w:id="6"/>
    </w:p>
    <w:p>
      <w:pPr>
        <w:pStyle w:val="6"/>
        <w:pageBreakBefore w:val="0"/>
        <w:kinsoku/>
        <w:wordWrap/>
        <w:overflowPunct/>
        <w:topLinePunct w:val="0"/>
        <w:bidi w:val="0"/>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一、生态环境脆弱</w:t>
      </w:r>
    </w:p>
    <w:p>
      <w:pPr>
        <w:pStyle w:val="13"/>
        <w:keepNext w:val="0"/>
        <w:keepLines w:val="0"/>
        <w:pageBreakBefore w:val="0"/>
        <w:shd w:val="clear" w:color="auto" w:fill="auto"/>
        <w:kinsoku/>
        <w:wordWrap/>
        <w:overflowPunct/>
        <w:topLinePunct w:val="0"/>
        <w:autoSpaceDE/>
        <w:autoSpaceDN/>
        <w:bidi w:val="0"/>
        <w:adjustRightInd/>
        <w:snapToGrid/>
        <w:spacing w:before="0" w:beforeAutospacing="0" w:after="0" w:afterAutospacing="0" w:line="600" w:lineRule="exact"/>
        <w:ind w:firstLine="480"/>
        <w:jc w:val="both"/>
        <w:textAlignment w:val="auto"/>
        <w:rPr>
          <w:rFonts w:hint="default" w:ascii="Times New Roman" w:hAnsi="Times New Roman" w:eastAsia="仿宋_GB2312" w:cs="Times New Roman"/>
          <w:sz w:val="32"/>
          <w:szCs w:val="32"/>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元谋县地处金沙江干热河谷地区，</w:t>
      </w:r>
      <w:r>
        <w:rPr>
          <w:rFonts w:hint="eastAsia" w:ascii="仿宋_GB2312" w:hAnsi="仿宋_GB2312" w:eastAsia="仿宋_GB2312" w:cs="仿宋_GB2312"/>
          <w:sz w:val="32"/>
          <w:szCs w:val="32"/>
          <w:lang w:eastAsia="zh-CN"/>
        </w:rPr>
        <w:t>气候干旱燥热且蒸发量大，</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降水量少，</w:t>
      </w:r>
      <w:r>
        <w:rPr>
          <w:rFonts w:hint="eastAsia" w:ascii="仿宋_GB2312" w:hAnsi="仿宋_GB2312" w:eastAsia="仿宋_GB2312" w:cs="仿宋_GB2312"/>
          <w:sz w:val="32"/>
          <w:szCs w:val="32"/>
          <w:lang w:eastAsia="zh-CN"/>
        </w:rPr>
        <w:t>坡陡箐深，</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土壤干旱贫</w:t>
      </w:r>
      <w:r>
        <w:rPr>
          <w:rFonts w:hint="eastAsia" w:ascii="仿宋_GB2312" w:hAnsi="仿宋_GB2312" w:eastAsia="仿宋_GB2312" w:cs="仿宋_GB2312"/>
          <w:sz w:val="32"/>
          <w:szCs w:val="32"/>
          <w:lang w:eastAsia="zh-CN"/>
        </w:rPr>
        <w:t>，岩石裸露，</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立地条件非常差，</w:t>
      </w:r>
      <w:r>
        <w:rPr>
          <w:rFonts w:hint="eastAsia" w:ascii="仿宋_GB2312" w:hAnsi="仿宋_GB2312" w:eastAsia="仿宋_GB2312" w:cs="仿宋_GB2312"/>
          <w:sz w:val="32"/>
          <w:szCs w:val="32"/>
          <w:lang w:eastAsia="zh-CN"/>
        </w:rPr>
        <w:t>生态极端脆弱</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，区域内森林覆盖率不高，且林分结构单一，稀疏林地多为车桑子，天然林比例太低，</w:t>
      </w:r>
      <w:r>
        <w:rPr>
          <w:rFonts w:hint="eastAsia" w:ascii="仿宋_GB2312" w:hAnsi="仿宋_GB2312" w:eastAsia="仿宋_GB2312" w:cs="仿宋_GB2312"/>
          <w:sz w:val="32"/>
          <w:szCs w:val="32"/>
        </w:rPr>
        <w:t>土地涵养水源能力低</w:t>
      </w:r>
      <w:r>
        <w:rPr>
          <w:rFonts w:hint="eastAsia" w:ascii="仿宋_GB2312" w:hAnsi="仿宋_GB2312" w:eastAsia="仿宋_GB2312" w:cs="仿宋_GB2312"/>
          <w:sz w:val="32"/>
          <w:szCs w:val="32"/>
          <w:lang w:eastAsia="zh-CN"/>
        </w:rPr>
        <w:t>。加之当地群众生产生活的影响，以及近年来频繁发生严重的旱灾、地质灾害的影响，自然</w:t>
      </w:r>
      <w:r>
        <w:rPr>
          <w:rFonts w:hint="eastAsia" w:ascii="仿宋_GB2312" w:hAnsi="仿宋_GB2312" w:eastAsia="仿宋_GB2312" w:cs="仿宋_GB2312"/>
          <w:sz w:val="32"/>
          <w:szCs w:val="32"/>
        </w:rPr>
        <w:t>修复</w:t>
      </w:r>
      <w:r>
        <w:rPr>
          <w:rFonts w:hint="eastAsia" w:ascii="仿宋_GB2312" w:hAnsi="仿宋_GB2312" w:eastAsia="仿宋_GB2312" w:cs="仿宋_GB2312"/>
          <w:sz w:val="32"/>
          <w:szCs w:val="32"/>
          <w:lang w:eastAsia="zh-CN"/>
        </w:rPr>
        <w:t>进程</w:t>
      </w:r>
      <w:r>
        <w:rPr>
          <w:rFonts w:hint="eastAsia" w:ascii="仿宋_GB2312" w:hAnsi="仿宋_GB2312" w:eastAsia="仿宋_GB2312" w:cs="仿宋_GB2312"/>
          <w:sz w:val="32"/>
          <w:szCs w:val="32"/>
        </w:rPr>
        <w:t>缓慢，影响和制约</w:t>
      </w:r>
      <w:r>
        <w:rPr>
          <w:rFonts w:hint="eastAsia" w:ascii="仿宋_GB2312" w:hAnsi="仿宋_GB2312" w:eastAsia="仿宋_GB2312" w:cs="仿宋_GB2312"/>
          <w:sz w:val="32"/>
          <w:szCs w:val="32"/>
          <w:lang w:eastAsia="zh-CN"/>
        </w:rPr>
        <w:t>了金沙江岸线的</w:t>
      </w:r>
      <w:r>
        <w:rPr>
          <w:rFonts w:hint="eastAsia" w:ascii="仿宋_GB2312" w:hAnsi="仿宋_GB2312" w:eastAsia="仿宋_GB2312" w:cs="仿宋_GB2312"/>
          <w:sz w:val="32"/>
          <w:szCs w:val="32"/>
        </w:rPr>
        <w:t>生态</w:t>
      </w:r>
      <w:r>
        <w:rPr>
          <w:rFonts w:hint="eastAsia" w:ascii="仿宋_GB2312" w:hAnsi="仿宋_GB2312" w:eastAsia="仿宋_GB2312" w:cs="仿宋_GB2312"/>
          <w:sz w:val="32"/>
          <w:szCs w:val="32"/>
          <w:lang w:eastAsia="zh-CN"/>
        </w:rPr>
        <w:t>修复</w:t>
      </w:r>
      <w:r>
        <w:rPr>
          <w:rFonts w:hint="eastAsia" w:ascii="仿宋_GB2312" w:hAnsi="仿宋_GB2312" w:eastAsia="仿宋_GB2312" w:cs="仿宋_GB2312"/>
          <w:sz w:val="32"/>
          <w:szCs w:val="32"/>
        </w:rPr>
        <w:t>。</w:t>
      </w:r>
    </w:p>
    <w:p>
      <w:pPr>
        <w:pStyle w:val="6"/>
        <w:pageBreakBefore w:val="0"/>
        <w:kinsoku/>
        <w:wordWrap/>
        <w:overflowPunct/>
        <w:topLinePunct w:val="0"/>
        <w:bidi w:val="0"/>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二、森林资源总量不足</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i w:val="0"/>
          <w:iCs w:val="0"/>
          <w:caps w:val="0"/>
          <w:color w:val="333333"/>
          <w:spacing w:val="0"/>
          <w:sz w:val="32"/>
          <w:szCs w:val="32"/>
          <w:shd w:val="clear" w:fill="FFFFFF"/>
          <w:lang w:eastAsia="zh-CN"/>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元谋县是</w:t>
      </w:r>
      <w:r>
        <w:rPr>
          <w:rFonts w:hint="eastAsia" w:ascii="仿宋_GB2312" w:hAnsi="仿宋_GB2312" w:eastAsia="仿宋_GB2312" w:cs="仿宋_GB2312"/>
          <w:i w:val="0"/>
          <w:iCs w:val="0"/>
          <w:caps w:val="0"/>
          <w:color w:val="333333"/>
          <w:spacing w:val="0"/>
          <w:sz w:val="32"/>
          <w:szCs w:val="32"/>
          <w:shd w:val="clear" w:fill="FFFFFF"/>
        </w:rPr>
        <w:t>一个缺林少绿、生态脆弱</w:t>
      </w:r>
      <w:r>
        <w:rPr>
          <w:rFonts w:hint="eastAsia" w:ascii="仿宋_GB2312" w:hAnsi="仿宋_GB2312" w:eastAsia="仿宋_GB2312" w:cs="仿宋_GB2312"/>
          <w:i w:val="0"/>
          <w:iCs w:val="0"/>
          <w:caps w:val="0"/>
          <w:color w:val="333333"/>
          <w:spacing w:val="0"/>
          <w:sz w:val="32"/>
          <w:szCs w:val="32"/>
          <w:shd w:val="clear" w:fill="FFFFFF"/>
          <w:lang w:eastAsia="zh-CN"/>
        </w:rPr>
        <w:t>县</w:t>
      </w:r>
      <w:r>
        <w:rPr>
          <w:rFonts w:hint="eastAsia" w:ascii="仿宋_GB2312" w:hAnsi="仿宋_GB2312" w:eastAsia="仿宋_GB2312" w:cs="仿宋_GB2312"/>
          <w:i w:val="0"/>
          <w:iCs w:val="0"/>
          <w:caps w:val="0"/>
          <w:color w:val="333333"/>
          <w:spacing w:val="0"/>
          <w:sz w:val="32"/>
          <w:szCs w:val="32"/>
          <w:shd w:val="clear" w:fill="FFFFFF"/>
        </w:rPr>
        <w:t>，森林覆盖率</w:t>
      </w:r>
      <w:r>
        <w:rPr>
          <w:rFonts w:hint="eastAsia" w:ascii="仿宋_GB2312" w:hAnsi="仿宋_GB2312" w:eastAsia="仿宋_GB2312" w:cs="仿宋_GB2312"/>
          <w:i w:val="0"/>
          <w:iCs w:val="0"/>
          <w:caps w:val="0"/>
          <w:color w:val="333333"/>
          <w:spacing w:val="0"/>
          <w:sz w:val="32"/>
          <w:szCs w:val="32"/>
          <w:shd w:val="clear" w:fill="FFFFFF"/>
          <w:lang w:eastAsia="zh-CN"/>
        </w:rPr>
        <w:t>和乔木林蓄积</w:t>
      </w:r>
      <w:r>
        <w:rPr>
          <w:rFonts w:hint="eastAsia" w:ascii="仿宋_GB2312" w:hAnsi="仿宋_GB2312" w:eastAsia="仿宋_GB2312" w:cs="仿宋_GB2312"/>
          <w:i w:val="0"/>
          <w:iCs w:val="0"/>
          <w:caps w:val="0"/>
          <w:color w:val="333333"/>
          <w:spacing w:val="0"/>
          <w:sz w:val="32"/>
          <w:szCs w:val="32"/>
          <w:shd w:val="clear" w:fill="FFFFFF"/>
        </w:rPr>
        <w:t>远低于</w:t>
      </w:r>
      <w:r>
        <w:rPr>
          <w:rFonts w:hint="eastAsia" w:ascii="仿宋_GB2312" w:hAnsi="仿宋_GB2312" w:eastAsia="仿宋_GB2312" w:cs="仿宋_GB2312"/>
          <w:i w:val="0"/>
          <w:iCs w:val="0"/>
          <w:caps w:val="0"/>
          <w:color w:val="333333"/>
          <w:spacing w:val="0"/>
          <w:sz w:val="32"/>
          <w:szCs w:val="32"/>
          <w:shd w:val="clear" w:fill="FFFFFF"/>
          <w:lang w:eastAsia="zh-CN"/>
        </w:rPr>
        <w:t>全省、全州平均水平，</w:t>
      </w:r>
      <w:r>
        <w:rPr>
          <w:rFonts w:hint="eastAsia" w:ascii="仿宋_GB2312" w:hAnsi="仿宋_GB2312" w:eastAsia="仿宋_GB2312" w:cs="仿宋_GB2312"/>
          <w:i w:val="0"/>
          <w:iCs w:val="0"/>
          <w:caps w:val="0"/>
          <w:color w:val="333333"/>
          <w:spacing w:val="0"/>
          <w:sz w:val="32"/>
          <w:szCs w:val="32"/>
          <w:shd w:val="clear" w:fill="FFFFFF"/>
        </w:rPr>
        <w:t>森林资源总量相对不足、质量不高、分布不均，林业发展面临着巨大的压力和挑战</w:t>
      </w:r>
      <w:r>
        <w:rPr>
          <w:rFonts w:hint="eastAsia" w:ascii="仿宋_GB2312" w:hAnsi="仿宋_GB2312" w:eastAsia="仿宋_GB2312" w:cs="仿宋_GB2312"/>
          <w:i w:val="0"/>
          <w:iCs w:val="0"/>
          <w:caps w:val="0"/>
          <w:color w:val="333333"/>
          <w:spacing w:val="0"/>
          <w:sz w:val="32"/>
          <w:szCs w:val="32"/>
          <w:shd w:val="clear" w:fill="FFFFFF"/>
          <w:lang w:eastAsia="zh-CN"/>
        </w:rPr>
        <w:t>，</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林业产业发展不平衡，对全县经济社会发展贡献率不高。</w:t>
      </w:r>
    </w:p>
    <w:p>
      <w:pPr>
        <w:pStyle w:val="6"/>
        <w:pageBreakBefore w:val="0"/>
        <w:numPr>
          <w:ilvl w:val="0"/>
          <w:numId w:val="2"/>
        </w:numPr>
        <w:kinsoku/>
        <w:wordWrap/>
        <w:overflowPunct/>
        <w:topLinePunct w:val="0"/>
        <w:bidi w:val="0"/>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生态保护修复难度较大</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持续几年全县降雨偏少，影响造林保存率和林业生态建设，</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加之气候炎热气温高，野外火源控制难度加大，火灾频发。面山造林难度较大，特别是</w:t>
      </w:r>
      <w:r>
        <w:rPr>
          <w:rFonts w:hint="default"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金沙江干流两岸面山区域山高坡陡，大部分区域为大于70度岩石裸露地表，机械和人员无法通行和施工，一般采用封山育林。</w:t>
      </w:r>
      <w:r>
        <w:rPr>
          <w:rFonts w:hint="default" w:ascii="Times New Roman" w:hAnsi="Times New Roman" w:eastAsia="仿宋_GB2312" w:cs="Times New Roman"/>
          <w:color w:val="000000" w:themeColor="text1"/>
          <w:spacing w:val="0"/>
          <w:sz w:val="32"/>
          <w:szCs w:val="32"/>
          <w:highlight w:val="none"/>
          <w:lang w:val="en-GB" w:eastAsia="zh-CN"/>
          <w14:textFill>
            <w14:solidFill>
              <w14:schemeClr w14:val="tx1"/>
            </w14:solidFill>
          </w14:textFill>
        </w:rPr>
        <w:t>金沙江干流</w:t>
      </w:r>
      <w:r>
        <w:rPr>
          <w:rFonts w:hint="default"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和支流龙川江交汇地江边乡金沙湖东西两岸面山核心区域施工项目区坡度大部在25-70度为主，人工施工较困难，施工条件难度大。</w:t>
      </w:r>
    </w:p>
    <w:p>
      <w:pPr>
        <w:pStyle w:val="6"/>
        <w:pageBreakBefore w:val="0"/>
        <w:numPr>
          <w:ilvl w:val="0"/>
          <w:numId w:val="2"/>
        </w:numPr>
        <w:kinsoku/>
        <w:wordWrap/>
        <w:overflowPunct/>
        <w:topLinePunct w:val="0"/>
        <w:bidi w:val="0"/>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生态建设投入严重不足</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方正仿宋_GB2312" w:hAnsi="方正仿宋_GB2312" w:eastAsia="方正仿宋_GB2312" w:cs="方正仿宋_GB2312"/>
          <w:color w:val="000000" w:themeColor="text1"/>
          <w:kern w:val="0"/>
          <w:sz w:val="32"/>
          <w:szCs w:val="32"/>
          <w:highlight w:val="no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全县林业建设进入爬坡过坎的攻坚阶段，任务重、资金需求量大，林业投融资渠道不宽，林业建设资金投入不足的矛盾十分突出。根据林业生态建设条件来看，林业生态建设项目种类较多，但投入资金有限，而且资金来源较为单一，多为中央财政拨款及部分地方不足的财政配套资金。致使生态环境治理投入资金单价低，造林、管护、材料费较高，造林后效果甚微，一定程度上影响了地方造林绿化的积极性。</w:t>
      </w:r>
      <w:bookmarkStart w:id="7" w:name="_Toc10127319"/>
      <w:bookmarkEnd w:id="7"/>
    </w:p>
    <w:p>
      <w:pPr>
        <w:pStyle w:val="6"/>
        <w:pageBreakBefore w:val="0"/>
        <w:numPr>
          <w:ilvl w:val="0"/>
          <w:numId w:val="2"/>
        </w:numPr>
        <w:kinsoku/>
        <w:wordWrap/>
        <w:overflowPunct/>
        <w:topLinePunct w:val="0"/>
        <w:bidi w:val="0"/>
        <w:spacing w:line="600" w:lineRule="exact"/>
        <w:ind w:left="0" w:leftChars="0" w:firstLine="640" w:firstLineChars="200"/>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管理和执法力量不足</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方正仿宋_GB2312" w:hAnsi="方正仿宋_GB2312" w:eastAsia="方正仿宋_GB2312" w:cs="方正仿宋_GB2312"/>
          <w:b w:val="0"/>
          <w:bCs w:val="0"/>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lang w:val="en-US" w:eastAsia="zh-CN" w:bidi="ar"/>
          <w14:textFill>
            <w14:solidFill>
              <w14:schemeClr w14:val="tx1"/>
            </w14:solidFill>
          </w14:textFill>
        </w:rPr>
        <w:t>科技支撑和服务保障体系建设薄弱。</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林业科研、科技推广、森林病虫害防治等基础设施还不完善，特别是资源监测、信息等服务手段相对落后，面对林业改革和发展的新形势，体制机制的制约，基层林业专业技术人员严重缺乏，一定程度上影响了林业的可持续发展。</w:t>
      </w:r>
      <w:r>
        <w:rPr>
          <w:rFonts w:hint="eastAsia" w:ascii="仿宋_GB2312" w:hAnsi="仿宋_GB2312" w:eastAsia="仿宋_GB2312" w:cs="仿宋_GB2312"/>
          <w:b w:val="0"/>
          <w:bCs w:val="0"/>
          <w:color w:val="000000" w:themeColor="text1"/>
          <w:kern w:val="0"/>
          <w:sz w:val="32"/>
          <w:szCs w:val="32"/>
          <w:lang w:val="en-US" w:eastAsia="zh-CN" w:bidi="ar"/>
          <w14:textFill>
            <w14:solidFill>
              <w14:schemeClr w14:val="tx1"/>
            </w14:solidFill>
          </w14:textFill>
        </w:rPr>
        <w:t>森林草原防灭火基础薄弱。林火监测中心编制和人员严重不足，进入防火期后，森林火险气象等级长期居高不下，但却未列入滇中高危火险区，现有的防火基础设施落后，未形成防火区域网格化。林业应急体系不完善，组织基础、工作基础、物质基础薄弱，应对大灾的能力严重不足。森林资源保护与经济建设矛盾突出。</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一些地方非法占用林地、毁林开荒的现象时有发生，增加了森林资源保护的难度。</w:t>
      </w:r>
    </w:p>
    <w:p>
      <w:pPr>
        <w:pStyle w:val="5"/>
        <w:keepNext/>
        <w:keepLines/>
        <w:pageBreakBefore w:val="0"/>
        <w:widowControl/>
        <w:kinsoku/>
        <w:wordWrap/>
        <w:overflowPunct/>
        <w:topLinePunct w:val="0"/>
        <w:autoSpaceDE/>
        <w:autoSpaceDN/>
        <w:bidi w:val="0"/>
        <w:adjustRightInd/>
        <w:snapToGrid/>
        <w:spacing w:before="194" w:beforeLines="50" w:after="194" w:afterLines="50" w:line="600" w:lineRule="exact"/>
        <w:jc w:val="center"/>
        <w:textAlignment w:val="auto"/>
        <w:rPr>
          <w:rFonts w:hint="eastAsia" w:ascii="方正小标宋简体" w:hAnsi="方正小标宋简体" w:eastAsia="方正小标宋简体" w:cs="方正小标宋简体"/>
          <w:b w:val="0"/>
          <w:bCs w:val="0"/>
          <w:color w:val="000000" w:themeColor="text1"/>
          <w:sz w:val="36"/>
          <w:szCs w:val="36"/>
          <w:lang w:val="en-US" w:eastAsia="zh-CN"/>
          <w14:textFill>
            <w14:solidFill>
              <w14:schemeClr w14:val="tx1"/>
            </w14:solidFill>
          </w14:textFill>
        </w:rPr>
      </w:pPr>
      <w:bookmarkStart w:id="8" w:name="_Toc6886"/>
      <w:bookmarkStart w:id="9" w:name="_Toc28216"/>
      <w:r>
        <w:rPr>
          <w:rFonts w:hint="eastAsia" w:ascii="方正小标宋简体" w:hAnsi="方正小标宋简体" w:eastAsia="方正小标宋简体" w:cs="方正小标宋简体"/>
          <w:b w:val="0"/>
          <w:bCs w:val="0"/>
          <w:color w:val="000000" w:themeColor="text1"/>
          <w:kern w:val="0"/>
          <w:sz w:val="36"/>
          <w:szCs w:val="36"/>
          <w:lang w:val="en-US" w:eastAsia="zh-CN" w:bidi="ar-SA"/>
          <w14:textFill>
            <w14:solidFill>
              <w14:schemeClr w14:val="tx1"/>
            </w14:solidFill>
          </w14:textFill>
        </w:rPr>
        <w:t>第三节  面临机遇</w:t>
      </w:r>
      <w:bookmarkEnd w:id="8"/>
      <w:bookmarkEnd w:id="9"/>
    </w:p>
    <w:p>
      <w:pPr>
        <w:pStyle w:val="6"/>
        <w:pageBreakBefore w:val="0"/>
        <w:kinsoku/>
        <w:wordWrap/>
        <w:overflowPunct/>
        <w:topLinePunct w:val="0"/>
        <w:bidi w:val="0"/>
        <w:spacing w:line="600" w:lineRule="exact"/>
        <w:ind w:firstLine="643"/>
        <w:textAlignment w:val="auto"/>
        <w:rPr>
          <w:rFonts w:hint="eastAsia" w:ascii="黑体" w:hAnsi="黑体" w:eastAsia="黑体" w:cs="黑体"/>
          <w:b w:val="0"/>
          <w:bCs w:val="0"/>
          <w:color w:val="000000" w:themeColor="text1"/>
          <w:highlight w:val="none"/>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一、生态文</w:t>
      </w:r>
      <w:r>
        <w:rPr>
          <w:rFonts w:hint="eastAsia" w:ascii="黑体" w:hAnsi="黑体" w:eastAsia="黑体" w:cs="黑体"/>
          <w:b w:val="0"/>
          <w:bCs w:val="0"/>
          <w:color w:val="000000" w:themeColor="text1"/>
          <w:highlight w:val="none"/>
          <w:lang w:val="en-US" w:eastAsia="zh-CN"/>
          <w14:textFill>
            <w14:solidFill>
              <w14:schemeClr w14:val="tx1"/>
            </w14:solidFill>
          </w14:textFill>
        </w:rPr>
        <w:t>明建设赋予林草工作更高的要求</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sz w:val="32"/>
          <w:szCs w:val="32"/>
        </w:rPr>
        <w:t>生态文明建设是中国特色社会主义事业发展的重要组成部分，事关人民福祉，关乎民族未来。生态良好和美丽中国成为全面现代化的重要标志，生态优先、绿色发展成为我国构建新发展格局，高质量发展的重要导向。林业和草原部门是生态文明建设的主体，在生态文明建设中起到核心作用。以习近平同志为核心的党中央高度重视生态文明建设，作出了统筹山水林田湖草沙系统治理、开展国土绿化、全面保护和修复自然生态系统等重要部署，赋予林草部门</w:t>
      </w:r>
      <w:r>
        <w:rPr>
          <w:rFonts w:hint="eastAsia" w:ascii="仿宋_GB2312" w:hAnsi="仿宋_GB2312" w:eastAsia="仿宋_GB2312" w:cs="仿宋_GB2312"/>
          <w:sz w:val="32"/>
          <w:szCs w:val="32"/>
          <w:lang w:eastAsia="zh-CN"/>
        </w:rPr>
        <w:t>新的历史</w:t>
      </w:r>
      <w:r>
        <w:rPr>
          <w:rFonts w:hint="eastAsia" w:ascii="仿宋_GB2312" w:hAnsi="仿宋_GB2312" w:eastAsia="仿宋_GB2312" w:cs="仿宋_GB2312"/>
          <w:sz w:val="32"/>
          <w:szCs w:val="32"/>
        </w:rPr>
        <w:t>使命。</w:t>
      </w:r>
    </w:p>
    <w:p>
      <w:pPr>
        <w:pStyle w:val="6"/>
        <w:pageBreakBefore w:val="0"/>
        <w:kinsoku/>
        <w:wordWrap/>
        <w:overflowPunct/>
        <w:topLinePunct w:val="0"/>
        <w:bidi w:val="0"/>
        <w:spacing w:line="600" w:lineRule="exact"/>
        <w:ind w:firstLine="643"/>
        <w:textAlignment w:val="auto"/>
        <w:rPr>
          <w:rFonts w:hint="eastAsia" w:ascii="黑体" w:hAnsi="黑体" w:eastAsia="黑体" w:cs="黑体"/>
          <w:b w:val="0"/>
          <w:bCs w:val="0"/>
          <w:color w:val="000000" w:themeColor="text1"/>
          <w:highlight w:val="yellow"/>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二、习近</w:t>
      </w:r>
      <w:r>
        <w:rPr>
          <w:rFonts w:hint="eastAsia" w:ascii="黑体" w:hAnsi="黑体" w:eastAsia="黑体" w:cs="黑体"/>
          <w:b w:val="0"/>
          <w:bCs w:val="0"/>
          <w:color w:val="000000" w:themeColor="text1"/>
          <w:highlight w:val="none"/>
          <w:lang w:val="en-US" w:eastAsia="zh-CN"/>
          <w14:textFill>
            <w14:solidFill>
              <w14:schemeClr w14:val="tx1"/>
            </w14:solidFill>
          </w14:textFill>
        </w:rPr>
        <w:t>平总书记考察云南讲话为林草发展绘就了蓝图</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bookmarkStart w:id="10" w:name="_Toc16310"/>
      <w:bookmarkStart w:id="11" w:name="_Toc2010"/>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2015年和2020年1月19日至21日，习近平总书记到云南考察工作并作了重要讲话，要求云南要主动服务和融入国家发展战略，创出一条跨越发展路子，云南是我国西南生态安全屏障，承担着维护区域、国家乃至国际生态安全的重大职责，要“建成我国民族团结进步示范区、生态文明建设排头兵、面向南亚东南亚辐射中心”，要争当全国生态文明建设排头兵。</w:t>
      </w:r>
      <w:bookmarkEnd w:id="10"/>
      <w:bookmarkEnd w:id="11"/>
    </w:p>
    <w:p>
      <w:pPr>
        <w:pStyle w:val="6"/>
        <w:pageBreakBefore w:val="0"/>
        <w:kinsoku/>
        <w:wordWrap/>
        <w:overflowPunct/>
        <w:topLinePunct w:val="0"/>
        <w:bidi w:val="0"/>
        <w:spacing w:line="600" w:lineRule="exact"/>
        <w:ind w:firstLine="643"/>
        <w:textAlignment w:val="auto"/>
        <w:rPr>
          <w:rFonts w:hint="eastAsia" w:ascii="黑体" w:hAnsi="黑体" w:eastAsia="黑体" w:cs="黑体"/>
          <w:b w:val="0"/>
          <w:bCs w:val="0"/>
          <w:color w:val="000000" w:themeColor="text1"/>
          <w:highlight w:val="yellow"/>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三、省委、省政府楚雄现场办公会</w:t>
      </w:r>
      <w:r>
        <w:rPr>
          <w:rFonts w:hint="eastAsia" w:ascii="黑体" w:hAnsi="黑体" w:eastAsia="黑体" w:cs="黑体"/>
          <w:b w:val="0"/>
          <w:bCs w:val="0"/>
          <w:color w:val="000000" w:themeColor="text1"/>
          <w:highlight w:val="none"/>
          <w:lang w:val="en-US" w:eastAsia="zh-CN"/>
          <w14:textFill>
            <w14:solidFill>
              <w14:schemeClr w14:val="tx1"/>
            </w14:solidFill>
          </w14:textFill>
        </w:rPr>
        <w:t>为林草发展注入强大动力</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方正仿宋_GB2312" w:hAnsi="方正仿宋_GB2312" w:eastAsia="方正仿宋_GB2312" w:cs="方正仿宋_GB2312"/>
          <w:strike w:val="0"/>
          <w:dstrike w:val="0"/>
          <w:color w:val="000000" w:themeColor="text1"/>
          <w:kern w:val="0"/>
          <w:sz w:val="32"/>
          <w:szCs w:val="32"/>
          <w:highlight w:val="yellow"/>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2021年6月，省委、省政府召开了楚雄现场办公会，提出将楚雄努力建设成为滇中崛起增长极、现代农业示范区、民族团结进步示范区。元谋林草的发展要在大力推进</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乡村振兴行</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动中，加强生态环境保护，按照“大产业+新主体+新平台”的发展思路，</w:t>
      </w:r>
      <w:r>
        <w:rPr>
          <w:rFonts w:hint="default" w:ascii="Times New Roman" w:hAnsi="Times New Roman" w:eastAsia="仿宋_GB2312" w:cs="Times New Roman"/>
          <w:strike w:val="0"/>
          <w:dstrike w:val="0"/>
          <w:color w:val="000000" w:themeColor="text1"/>
          <w:kern w:val="0"/>
          <w:sz w:val="32"/>
          <w:szCs w:val="32"/>
          <w:highlight w:val="none"/>
          <w:lang w:val="en-US" w:eastAsia="zh-CN" w:bidi="ar"/>
          <w14:textFill>
            <w14:solidFill>
              <w14:schemeClr w14:val="tx1"/>
            </w14:solidFill>
          </w14:textFill>
        </w:rPr>
        <w:t>加快打造野生菌保育基地和核桃产业基地。</w:t>
      </w:r>
    </w:p>
    <w:p>
      <w:pPr>
        <w:pStyle w:val="6"/>
        <w:pageBreakBefore w:val="0"/>
        <w:kinsoku/>
        <w:wordWrap/>
        <w:overflowPunct/>
        <w:topLinePunct w:val="0"/>
        <w:bidi w:val="0"/>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四、全面建立林长制为林草建设提供了制度保障</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全面推行林长制将夯实林草保护发展的制度基础。全面推行林长制，是林草监管体制和治理体系的重大创新。要进一步压实各级党委和政府保护发展林草资源的主体责任，建立党政同责、属地负责、部门协同、源头治理、全域覆盖的长效机制。</w:t>
      </w:r>
    </w:p>
    <w:p>
      <w:pPr>
        <w:pStyle w:val="6"/>
        <w:pageBreakBefore w:val="0"/>
        <w:kinsoku/>
        <w:wordWrap/>
        <w:overflowPunct/>
        <w:topLinePunct w:val="0"/>
        <w:bidi w:val="0"/>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五、碳达峰碳中和为林草建设提供了重大机遇</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碳达峰、碳中和是党中央重大战略决策布署，是我国实现可持续发展、高质量发展的内在要求，也是推动构建人类命运共同体的必然选择，已纳入经济社会发展和生态文明建设整体布局。要坚定不移走生态优先、绿色低碳的高质量发展道路，增加森林面积、提高森林质量，提升生态系统碳汇增量，建立健全生态产品价值实现机制，为实现我国碳达峰碳中和目标、维护全球生态安全作出林草更大贡献。</w:t>
      </w:r>
    </w:p>
    <w:p>
      <w:pPr>
        <w:pageBreakBefore w:val="0"/>
        <w:kinsoku/>
        <w:wordWrap/>
        <w:overflowPunct/>
        <w:topLinePunct w:val="0"/>
        <w:bidi w:val="0"/>
        <w:spacing w:line="600" w:lineRule="exact"/>
        <w:textAlignment w:val="auto"/>
        <w:rPr>
          <w:rFonts w:hint="eastAsia" w:ascii="方正小标宋简体" w:hAnsi="方正小标宋简体" w:eastAsia="方正小标宋简体" w:cs="方正小标宋简体"/>
          <w:bCs/>
          <w:color w:val="000000" w:themeColor="text1"/>
          <w:kern w:val="44"/>
          <w:sz w:val="44"/>
          <w:szCs w:val="44"/>
          <w:lang w:val="en-US" w:eastAsia="zh-CN" w:bidi="ar"/>
          <w14:textFill>
            <w14:solidFill>
              <w14:schemeClr w14:val="tx1"/>
            </w14:solidFill>
          </w14:textFill>
        </w:rPr>
      </w:pPr>
      <w:bookmarkStart w:id="12" w:name="_Toc3433"/>
      <w:r>
        <w:rPr>
          <w:rFonts w:hint="eastAsia" w:ascii="方正小标宋简体" w:hAnsi="方正小标宋简体" w:eastAsia="方正小标宋简体" w:cs="方正小标宋简体"/>
          <w:bCs/>
          <w:color w:val="000000" w:themeColor="text1"/>
          <w:kern w:val="44"/>
          <w:sz w:val="44"/>
          <w:szCs w:val="44"/>
          <w:lang w:val="en-US" w:eastAsia="zh-CN" w:bidi="ar"/>
          <w14:textFill>
            <w14:solidFill>
              <w14:schemeClr w14:val="tx1"/>
            </w14:solidFill>
          </w14:textFill>
        </w:rPr>
        <w:br w:type="page"/>
      </w:r>
    </w:p>
    <w:p>
      <w:pPr>
        <w:keepNext w:val="0"/>
        <w:keepLines w:val="0"/>
        <w:pageBreakBefore w:val="0"/>
        <w:widowControl w:val="0"/>
        <w:kinsoku/>
        <w:wordWrap/>
        <w:overflowPunct/>
        <w:topLinePunct w:val="0"/>
        <w:autoSpaceDE w:val="0"/>
        <w:autoSpaceDN w:val="0"/>
        <w:bidi w:val="0"/>
        <w:adjustRightInd w:val="0"/>
        <w:snapToGrid/>
        <w:spacing w:before="160" w:beforeLines="50" w:after="160" w:afterLines="50" w:line="600" w:lineRule="exact"/>
        <w:jc w:val="center"/>
        <w:textAlignment w:val="auto"/>
        <w:outlineLvl w:val="0"/>
        <w:rPr>
          <w:rFonts w:hint="eastAsia" w:ascii="方正小标宋简体" w:hAnsi="方正小标宋简体" w:eastAsia="方正小标宋简体" w:cs="方正小标宋简体"/>
          <w:b w:val="0"/>
          <w:bCs/>
          <w:color w:val="000000" w:themeColor="text1"/>
          <w:kern w:val="44"/>
          <w:sz w:val="44"/>
          <w:szCs w:val="44"/>
          <w:lang w:val="en-US" w:eastAsia="zh-CN" w:bidi="ar"/>
          <w14:textFill>
            <w14:solidFill>
              <w14:schemeClr w14:val="tx1"/>
            </w14:solidFill>
          </w14:textFill>
        </w:rPr>
      </w:pPr>
      <w:bookmarkStart w:id="13" w:name="_Toc22952"/>
      <w:r>
        <w:rPr>
          <w:rFonts w:hint="eastAsia" w:ascii="方正小标宋简体" w:hAnsi="方正小标宋简体" w:eastAsia="方正小标宋简体" w:cs="方正小标宋简体"/>
          <w:b w:val="0"/>
          <w:bCs/>
          <w:color w:val="000000" w:themeColor="text1"/>
          <w:kern w:val="44"/>
          <w:sz w:val="44"/>
          <w:szCs w:val="44"/>
          <w:lang w:val="en-US" w:eastAsia="zh-CN" w:bidi="ar"/>
          <w14:textFill>
            <w14:solidFill>
              <w14:schemeClr w14:val="tx1"/>
            </w14:solidFill>
          </w14:textFill>
        </w:rPr>
        <w:t>第二章 总体思路</w:t>
      </w:r>
      <w:bookmarkEnd w:id="12"/>
      <w:bookmarkEnd w:id="13"/>
    </w:p>
    <w:p>
      <w:pPr>
        <w:pStyle w:val="5"/>
        <w:keepNext/>
        <w:keepLines/>
        <w:pageBreakBefore w:val="0"/>
        <w:widowControl/>
        <w:kinsoku/>
        <w:wordWrap/>
        <w:overflowPunct/>
        <w:topLinePunct w:val="0"/>
        <w:autoSpaceDE/>
        <w:autoSpaceDN/>
        <w:bidi w:val="0"/>
        <w:adjustRightInd/>
        <w:snapToGrid/>
        <w:spacing w:before="194" w:beforeLines="50" w:after="194" w:afterLines="50" w:line="600" w:lineRule="exact"/>
        <w:jc w:val="center"/>
        <w:textAlignment w:val="auto"/>
        <w:rPr>
          <w:rFonts w:hint="eastAsia" w:ascii="方正小标宋简体" w:hAnsi="方正小标宋简体" w:eastAsia="方正小标宋简体" w:cs="方正小标宋简体"/>
          <w:b w:val="0"/>
          <w:bCs w:val="0"/>
          <w:color w:val="000000" w:themeColor="text1"/>
          <w:kern w:val="0"/>
          <w:sz w:val="36"/>
          <w:szCs w:val="36"/>
          <w:lang w:val="en-US" w:eastAsia="zh-CN" w:bidi="ar-SA"/>
          <w14:textFill>
            <w14:solidFill>
              <w14:schemeClr w14:val="tx1"/>
            </w14:solidFill>
          </w14:textFill>
        </w:rPr>
      </w:pPr>
      <w:bookmarkStart w:id="14" w:name="_Toc15181"/>
      <w:bookmarkStart w:id="15" w:name="_Toc18704"/>
      <w:r>
        <w:rPr>
          <w:rFonts w:hint="eastAsia" w:ascii="方正小标宋简体" w:hAnsi="方正小标宋简体" w:eastAsia="方正小标宋简体" w:cs="方正小标宋简体"/>
          <w:b w:val="0"/>
          <w:bCs w:val="0"/>
          <w:color w:val="000000" w:themeColor="text1"/>
          <w:kern w:val="0"/>
          <w:sz w:val="36"/>
          <w:szCs w:val="36"/>
          <w:lang w:val="en-US" w:eastAsia="zh-CN" w:bidi="ar-SA"/>
          <w14:textFill>
            <w14:solidFill>
              <w14:schemeClr w14:val="tx1"/>
            </w14:solidFill>
          </w14:textFill>
        </w:rPr>
        <w:t>第一节  指导思想</w:t>
      </w:r>
      <w:bookmarkEnd w:id="14"/>
      <w:bookmarkEnd w:id="15"/>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坚持以习近平新时代中国特色社会主义思想为指导，全面贯彻党的十九大和十九届二中、三中、四中、五中全会精神，深入学习习近平生态文明思想，贯彻落实习近平总书记考察云南重要讲话精神，牢固树立“绿水青山就是金山银山”理念，统</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筹山水林田湖草沙系</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统治理，科学布局和组织实施重要生态系统保护和修复重大工程，着力提高生态系统自我修复能力，切实增强生态系统稳定性，显著提升生态系统功能，推进形成生态保护和修复新格局，为维护生态安全、推进生态系统治理体系和治理能力现代化、加快推进“滇中翡翠”、“美丽元谋”建设奠定坚实生态基础。坚持创新、协调、绿色、开放、共享的发展理念，深入贯彻实施省委“三张牌”和县委“一枢纽两胜地两园两区”发展目标，按照县委县政府“治荒山、保生态、优环境、促产业”的生态文明建设安排部署，以提</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升</w:t>
      </w:r>
      <w:r>
        <w:rPr>
          <w:rFonts w:hint="eastAsia" w:ascii="仿宋_GB2312" w:hAnsi="仿宋_GB2312" w:eastAsia="仿宋_GB2312" w:cs="仿宋_GB2312"/>
          <w:strike w:val="0"/>
          <w:dstrike w:val="0"/>
          <w:color w:val="000000" w:themeColor="text1"/>
          <w:kern w:val="0"/>
          <w:sz w:val="32"/>
          <w:szCs w:val="32"/>
          <w:highlight w:val="none"/>
          <w:lang w:val="en-US" w:eastAsia="zh-CN" w:bidi="ar"/>
          <w14:textFill>
            <w14:solidFill>
              <w14:schemeClr w14:val="tx1"/>
            </w14:solidFill>
          </w14:textFill>
        </w:rPr>
        <w:t>林草面积和生态功能</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为总目标</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强化森林草原资源培育与保护，加快生态文明建设，积极争创生态文明先行示范区，争当生态文明建设排头兵，实施乡村振兴战略，筑牢生态安全屏障，实现森林资源总量扩张，绿化质量提升，生态质量提高，林业产业发展，生态文化繁荣，推动元谋林草事业实现高质量跨越式发展。</w:t>
      </w:r>
    </w:p>
    <w:p>
      <w:pPr>
        <w:pStyle w:val="5"/>
        <w:keepNext/>
        <w:keepLines/>
        <w:pageBreakBefore w:val="0"/>
        <w:widowControl/>
        <w:kinsoku/>
        <w:wordWrap/>
        <w:overflowPunct/>
        <w:topLinePunct w:val="0"/>
        <w:autoSpaceDE/>
        <w:autoSpaceDN/>
        <w:bidi w:val="0"/>
        <w:adjustRightInd/>
        <w:snapToGrid/>
        <w:spacing w:before="194" w:beforeLines="50" w:after="194" w:afterLines="50" w:line="600" w:lineRule="exact"/>
        <w:jc w:val="center"/>
        <w:textAlignment w:val="auto"/>
        <w:rPr>
          <w:rFonts w:hint="eastAsia" w:ascii="方正小标宋简体" w:hAnsi="方正小标宋简体" w:eastAsia="方正小标宋简体" w:cs="方正小标宋简体"/>
          <w:b w:val="0"/>
          <w:bCs w:val="0"/>
          <w:color w:val="000000" w:themeColor="text1"/>
          <w:kern w:val="0"/>
          <w:sz w:val="36"/>
          <w:szCs w:val="36"/>
          <w:lang w:val="en-US" w:eastAsia="zh-CN" w:bidi="ar-SA"/>
          <w14:textFill>
            <w14:solidFill>
              <w14:schemeClr w14:val="tx1"/>
            </w14:solidFill>
          </w14:textFill>
        </w:rPr>
      </w:pPr>
      <w:bookmarkStart w:id="16" w:name="_Toc18884"/>
      <w:bookmarkStart w:id="17" w:name="_Toc1706"/>
      <w:r>
        <w:rPr>
          <w:rFonts w:hint="eastAsia" w:ascii="方正小标宋简体" w:hAnsi="方正小标宋简体" w:eastAsia="方正小标宋简体" w:cs="方正小标宋简体"/>
          <w:b w:val="0"/>
          <w:bCs w:val="0"/>
          <w:color w:val="000000" w:themeColor="text1"/>
          <w:kern w:val="0"/>
          <w:sz w:val="36"/>
          <w:szCs w:val="36"/>
          <w:lang w:val="en-US" w:eastAsia="zh-CN" w:bidi="ar-SA"/>
          <w14:textFill>
            <w14:solidFill>
              <w14:schemeClr w14:val="tx1"/>
            </w14:solidFill>
          </w14:textFill>
        </w:rPr>
        <w:t>第二节  基本原则</w:t>
      </w:r>
      <w:bookmarkEnd w:id="16"/>
      <w:bookmarkEnd w:id="17"/>
    </w:p>
    <w:p>
      <w:pPr>
        <w:pStyle w:val="6"/>
        <w:pageBreakBefore w:val="0"/>
        <w:kinsoku/>
        <w:wordWrap/>
        <w:overflowPunct/>
        <w:topLinePunct w:val="0"/>
        <w:bidi w:val="0"/>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一、坚持绿色发展，可持续发展原则</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以可持续发展作为林业发展的根本出发点，坚持生态优先，生态、社会、经济效益协调发展，贯彻“绿水青山就是金山银山”发展理念，强化林业和主体功能定位，优化国土空间开发格局，统筹推进生态保护、生态修复、生态惠民，做好建设绿水青山、保护绿水青山、利用绿水青山三篇文章。</w:t>
      </w:r>
    </w:p>
    <w:p>
      <w:pPr>
        <w:pStyle w:val="6"/>
        <w:pageBreakBefore w:val="0"/>
        <w:kinsoku/>
        <w:wordWrap/>
        <w:overflowPunct/>
        <w:topLinePunct w:val="0"/>
        <w:bidi w:val="0"/>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二、坚持保护优先，自然恢复为主原则</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牢固树立和践行绿水青山就是金山银山理念，尊重自然、顺应自然、保护自然，像保护眼睛一样保护生态环境，像对待生命一样对待生态环境。遵循自然生态系统演替规律，充分发挥大自然的自我修复能力，避免人类对生态系统的过多干预。</w:t>
      </w:r>
    </w:p>
    <w:p>
      <w:pPr>
        <w:pStyle w:val="6"/>
        <w:pageBreakBefore w:val="0"/>
        <w:kinsoku/>
        <w:wordWrap/>
        <w:overflowPunct/>
        <w:topLinePunct w:val="0"/>
        <w:bidi w:val="0"/>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三、坚持统筹兼顾，突出重点难点原则</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着眼于提升我县生态安全屏障体系质量，聚焦国家重点生态功能区、生态保护红线、</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自然保护地等重</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点区域，突出问题导向、目标导向、结果导向，妥善处理保护和发展、整体和重点、当前和长远的关系，推动形成生态保护和修复新格局。</w:t>
      </w:r>
    </w:p>
    <w:p>
      <w:pPr>
        <w:pStyle w:val="6"/>
        <w:pageBreakBefore w:val="0"/>
        <w:kinsoku/>
        <w:wordWrap/>
        <w:overflowPunct/>
        <w:topLinePunct w:val="0"/>
        <w:bidi w:val="0"/>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四、坚持科学治理，综合施策推进原则</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坚持“山水林田湖草沙是生命共同体”理念，遵循生态系统内在机理，以生态本底和自然禀赋为基础，关注生态质量提升和生态风险应对，强化科技支撑作用，因地制宜、实事求是，科学配置保护和修复、自然和人工、生物和工程等措施，推进一体化生态保护和修复。</w:t>
      </w:r>
    </w:p>
    <w:p>
      <w:pPr>
        <w:pStyle w:val="6"/>
        <w:pageBreakBefore w:val="0"/>
        <w:kinsoku/>
        <w:wordWrap/>
        <w:overflowPunct/>
        <w:topLinePunct w:val="0"/>
        <w:bidi w:val="0"/>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五、坚持改革创新，完善机制原则</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积极推动集体林权制度、国有林</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、自然保护地、</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林业执法等林业各项改革，拓展林业发展空间，积极探索国土绿化、营林营草、投资融资、项目管理等创新模式，广泛调动全社会力量发展林草事业的主动性和创造性。全面提升林业生态效益、经济效益、社会效益。</w:t>
      </w:r>
    </w:p>
    <w:p>
      <w:pPr>
        <w:pStyle w:val="6"/>
        <w:pageBreakBefore w:val="0"/>
        <w:kinsoku/>
        <w:wordWrap/>
        <w:overflowPunct/>
        <w:topLinePunct w:val="0"/>
        <w:bidi w:val="0"/>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六、坚持依法治林，提升治理能力原则</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加强推进林业草原行政执法队伍建设，加强林业执法和普法，完善林业法治保障体系，形成完备的林业法律规范体系、高效的法治实施体系、严密的法治监督体系、有力的法治保障体系，保护产权、规范公权，不断完善林业治理体系和提升治理能力。</w:t>
      </w:r>
    </w:p>
    <w:p>
      <w:pPr>
        <w:pStyle w:val="6"/>
        <w:pageBreakBefore w:val="0"/>
        <w:kinsoku/>
        <w:wordWrap/>
        <w:overflowPunct/>
        <w:topLinePunct w:val="0"/>
        <w:bidi w:val="0"/>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七、坚持科技创新，科技兴林的原则</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依靠科学技术，全面提升林业建设的科技含量，加快培育和引进新品种，加强林业新技术研究利用，开展林业实用技术推广运用，提高林业自主创新能力；加快推进“数字林业”建设，拓展林草资源管理“一张图”应用平台功能，建立和完善野生动植物监测平台、林草防火大数据建设平台，做好森林防火视频监控系统的推广运用，建立健全林业科技支撑体系。</w:t>
      </w:r>
    </w:p>
    <w:p>
      <w:pPr>
        <w:pStyle w:val="5"/>
        <w:keepNext/>
        <w:keepLines/>
        <w:pageBreakBefore w:val="0"/>
        <w:widowControl/>
        <w:kinsoku/>
        <w:wordWrap/>
        <w:overflowPunct/>
        <w:topLinePunct w:val="0"/>
        <w:autoSpaceDE/>
        <w:autoSpaceDN/>
        <w:bidi w:val="0"/>
        <w:adjustRightInd/>
        <w:snapToGrid/>
        <w:spacing w:before="194" w:beforeLines="50" w:after="194" w:afterLines="50" w:line="600" w:lineRule="exact"/>
        <w:jc w:val="center"/>
        <w:textAlignment w:val="auto"/>
        <w:rPr>
          <w:rFonts w:hint="eastAsia" w:ascii="方正小标宋简体" w:hAnsi="方正小标宋简体" w:eastAsia="方正小标宋简体" w:cs="方正小标宋简体"/>
          <w:b w:val="0"/>
          <w:bCs w:val="0"/>
          <w:color w:val="000000" w:themeColor="text1"/>
          <w:sz w:val="36"/>
          <w:szCs w:val="36"/>
          <w:lang w:val="en-US" w:eastAsia="zh-CN"/>
          <w14:textFill>
            <w14:solidFill>
              <w14:schemeClr w14:val="tx1"/>
            </w14:solidFill>
          </w14:textFill>
        </w:rPr>
      </w:pPr>
      <w:bookmarkStart w:id="18" w:name="_Toc32547"/>
      <w:bookmarkStart w:id="19" w:name="_Toc9490"/>
      <w:r>
        <w:rPr>
          <w:rFonts w:hint="eastAsia" w:ascii="方正小标宋简体" w:hAnsi="方正小标宋简体" w:eastAsia="方正小标宋简体" w:cs="方正小标宋简体"/>
          <w:b w:val="0"/>
          <w:bCs w:val="0"/>
          <w:color w:val="000000" w:themeColor="text1"/>
          <w:kern w:val="0"/>
          <w:sz w:val="36"/>
          <w:szCs w:val="36"/>
          <w:lang w:val="en-US" w:eastAsia="zh-CN" w:bidi="ar-SA"/>
          <w14:textFill>
            <w14:solidFill>
              <w14:schemeClr w14:val="tx1"/>
            </w14:solidFill>
          </w14:textFill>
        </w:rPr>
        <w:t>第三节  发展目标</w:t>
      </w:r>
      <w:bookmarkEnd w:id="18"/>
      <w:bookmarkEnd w:id="19"/>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pPr>
      <w:r>
        <w:rPr>
          <w:rFonts w:hint="default" w:ascii="Times New Roman" w:hAnsi="Times New Roman" w:eastAsia="仿宋_GB2312" w:cs="Times New Roman"/>
          <w:strike w:val="0"/>
          <w:dstrike w:val="0"/>
          <w:color w:val="000000" w:themeColor="text1"/>
          <w:kern w:val="0"/>
          <w:sz w:val="32"/>
          <w:szCs w:val="32"/>
          <w:highlight w:val="none"/>
          <w:lang w:val="en-US" w:eastAsia="zh-CN" w:bidi="ar"/>
          <w14:textFill>
            <w14:solidFill>
              <w14:schemeClr w14:val="tx1"/>
            </w14:solidFill>
          </w14:textFill>
        </w:rPr>
        <w:t>“十四五”规划目标是</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到2025年，完成绿化造林面积15万亩以上，全县森林覆盖率达</w:t>
      </w:r>
      <w:r>
        <w:rPr>
          <w:rFonts w:hint="eastAsia" w:ascii="Times New Roman" w:hAnsi="Times New Roman" w:eastAsia="仿宋_GB2312" w:cs="Times New Roman"/>
          <w:color w:val="000000" w:themeColor="text1"/>
          <w:kern w:val="0"/>
          <w:sz w:val="32"/>
          <w:szCs w:val="32"/>
          <w:lang w:val="en-US" w:eastAsia="zh-CN" w:bidi="ar"/>
          <w14:textFill>
            <w14:solidFill>
              <w14:schemeClr w14:val="tx1"/>
            </w14:solidFill>
          </w14:textFill>
        </w:rPr>
        <w:t>37.21</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%以上；森林面积达到</w:t>
      </w:r>
      <w:r>
        <w:rPr>
          <w:rFonts w:hint="eastAsia" w:ascii="Times New Roman" w:hAnsi="Times New Roman" w:eastAsia="仿宋_GB2312" w:cs="Times New Roman"/>
          <w:color w:val="000000" w:themeColor="text1"/>
          <w:kern w:val="0"/>
          <w:sz w:val="32"/>
          <w:szCs w:val="32"/>
          <w:lang w:val="en-US" w:eastAsia="zh-CN" w:bidi="ar"/>
          <w14:textFill>
            <w14:solidFill>
              <w14:schemeClr w14:val="tx1"/>
            </w14:solidFill>
          </w14:textFill>
        </w:rPr>
        <w:t>753.72</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平方公里，森林蓄积量达到</w:t>
      </w:r>
      <w:r>
        <w:rPr>
          <w:rFonts w:hint="eastAsia" w:ascii="Times New Roman" w:hAnsi="Times New Roman" w:eastAsia="仿宋_GB2312" w:cs="Times New Roman"/>
          <w:color w:val="000000" w:themeColor="text1"/>
          <w:kern w:val="0"/>
          <w:sz w:val="32"/>
          <w:szCs w:val="32"/>
          <w:lang w:val="en-US" w:eastAsia="zh-CN" w:bidi="ar"/>
          <w14:textFill>
            <w14:solidFill>
              <w14:schemeClr w14:val="tx1"/>
            </w14:solidFill>
          </w14:textFill>
        </w:rPr>
        <w:t>158.21</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万立方米，草原综合植被盖度达到84%，</w:t>
      </w:r>
      <w:r>
        <w:rPr>
          <w:rFonts w:hint="default" w:ascii="Times New Roman" w:hAnsi="Times New Roman" w:eastAsia="仿宋_GB2312" w:cs="Times New Roman"/>
          <w:color w:val="000000" w:themeColor="text1"/>
          <w:sz w:val="32"/>
          <w:szCs w:val="32"/>
          <w14:textFill>
            <w14:solidFill>
              <w14:schemeClr w14:val="tx1"/>
            </w14:solidFill>
          </w14:textFill>
        </w:rPr>
        <w:t>湿地总面积不低于</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7.5</w:t>
      </w:r>
      <w:r>
        <w:rPr>
          <w:rFonts w:hint="default" w:ascii="Times New Roman" w:hAnsi="Times New Roman" w:eastAsia="仿宋_GB2312" w:cs="Times New Roman"/>
          <w:color w:val="000000" w:themeColor="text1"/>
          <w:sz w:val="32"/>
          <w:szCs w:val="32"/>
          <w14:textFill>
            <w14:solidFill>
              <w14:schemeClr w14:val="tx1"/>
            </w14:solidFill>
          </w14:textFill>
        </w:rPr>
        <w:t>万亩，湿地保护率达</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75%</w:t>
      </w:r>
      <w:r>
        <w:rPr>
          <w:rFonts w:hint="default" w:ascii="Times New Roman" w:hAnsi="Times New Roman" w:eastAsia="仿宋_GB2312" w:cs="Times New Roman"/>
          <w:color w:val="000000" w:themeColor="text1"/>
          <w:sz w:val="32"/>
          <w:szCs w:val="32"/>
          <w14:textFill>
            <w14:solidFill>
              <w14:schemeClr w14:val="tx1"/>
            </w14:solidFill>
          </w14:textFill>
        </w:rPr>
        <w:t>以上，</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新增特色经济林5万亩以上，使全县林业总产值达到</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8.3</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亿元以上；有害生物成灾率控制在4‰以内，主要林业和草原有害生物监测覆盖率达95％以上，种苗产地检疫率达100％；年森林火灾受害率不超过1‰，林火当日扑灭率达95%以上；义务植树380万株，义务植树尽责率达90%以上。</w:t>
      </w:r>
    </w:p>
    <w:p>
      <w:pPr>
        <w:pStyle w:val="3"/>
        <w:ind w:left="0" w:leftChars="0" w:firstLine="0" w:firstLineChars="0"/>
        <w:rPr>
          <w:rFonts w:hint="eastAsia"/>
          <w:lang w:val="en-US" w:eastAsia="zh-CN"/>
        </w:rPr>
      </w:pPr>
    </w:p>
    <w:tbl>
      <w:tblPr>
        <w:tblStyle w:val="15"/>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788"/>
        <w:gridCol w:w="1198"/>
        <w:gridCol w:w="1202"/>
        <w:gridCol w:w="1011"/>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71" w:type="dxa"/>
            <w:gridSpan w:val="6"/>
            <w:vAlign w:val="top"/>
          </w:tcPr>
          <w:p>
            <w:pPr>
              <w:keepNext w:val="0"/>
              <w:keepLines w:val="0"/>
              <w:pageBreakBefore w:val="0"/>
              <w:widowControl w:val="0"/>
              <w:kinsoku/>
              <w:wordWrap/>
              <w:overflowPunct/>
              <w:topLinePunct w:val="0"/>
              <w:bidi w:val="0"/>
              <w:spacing w:line="540" w:lineRule="exact"/>
              <w:jc w:val="center"/>
              <w:textAlignment w:val="auto"/>
              <w:rPr>
                <w:rFonts w:hint="eastAsia" w:ascii="楷体" w:hAnsi="楷体" w:eastAsia="楷体" w:cs="楷体"/>
                <w:color w:val="000000" w:themeColor="text1"/>
                <w:sz w:val="28"/>
                <w:szCs w:val="28"/>
                <w:vertAlign w:val="baseline"/>
                <w:lang w:eastAsia="zh-CN"/>
                <w14:textFill>
                  <w14:solidFill>
                    <w14:schemeClr w14:val="tx1"/>
                  </w14:solidFill>
                </w14:textFill>
              </w:rPr>
            </w:pPr>
            <w:bookmarkStart w:id="20" w:name="_Toc14585"/>
            <w:r>
              <w:rPr>
                <w:rFonts w:hint="eastAsia" w:ascii="楷体" w:hAnsi="楷体" w:eastAsia="楷体" w:cs="楷体"/>
                <w:b/>
                <w:bCs/>
                <w:color w:val="000000" w:themeColor="text1"/>
                <w:sz w:val="32"/>
                <w:szCs w:val="32"/>
                <w:vertAlign w:val="baseline"/>
                <w:lang w:eastAsia="zh-CN"/>
                <w14:textFill>
                  <w14:solidFill>
                    <w14:schemeClr w14:val="tx1"/>
                  </w14:solidFill>
                </w14:textFill>
              </w:rPr>
              <w:t>“十四五”</w:t>
            </w:r>
            <w:r>
              <w:rPr>
                <w:rFonts w:hint="eastAsia" w:ascii="楷体" w:hAnsi="楷体" w:eastAsia="楷体" w:cs="楷体"/>
                <w:b/>
                <w:bCs/>
                <w:color w:val="000000" w:themeColor="text1"/>
                <w:sz w:val="32"/>
                <w:szCs w:val="32"/>
                <w:vertAlign w:val="baseline"/>
                <w:lang w:val="en-US" w:eastAsia="zh-CN"/>
                <w14:textFill>
                  <w14:solidFill>
                    <w14:schemeClr w14:val="tx1"/>
                  </w14:solidFill>
                </w14:textFill>
              </w:rPr>
              <w:t>林业和草原保护</w:t>
            </w:r>
            <w:r>
              <w:rPr>
                <w:rFonts w:hint="eastAsia" w:ascii="楷体" w:hAnsi="楷体" w:eastAsia="楷体" w:cs="楷体"/>
                <w:b/>
                <w:bCs/>
                <w:color w:val="000000" w:themeColor="text1"/>
                <w:sz w:val="32"/>
                <w:szCs w:val="32"/>
                <w:vertAlign w:val="baseline"/>
                <w:lang w:eastAsia="zh-CN"/>
                <w14:textFill>
                  <w14:solidFill>
                    <w14:schemeClr w14:val="tx1"/>
                  </w14:solidFill>
                </w14:textFill>
              </w:rPr>
              <w:t>发展规划主要指标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Merge w:val="restart"/>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val="0"/>
                <w:color w:val="000000" w:themeColor="text1"/>
                <w:sz w:val="32"/>
                <w:szCs w:val="32"/>
                <w:lang w:eastAsia="zh-CN"/>
                <w14:textFill>
                  <w14:solidFill>
                    <w14:schemeClr w14:val="tx1"/>
                  </w14:solidFill>
                </w14:textFill>
              </w:rPr>
            </w:pPr>
            <w:r>
              <w:rPr>
                <w:rFonts w:hint="eastAsia" w:ascii="楷体" w:hAnsi="楷体" w:eastAsia="楷体" w:cs="楷体"/>
                <w:b/>
                <w:bCs w:val="0"/>
                <w:color w:val="000000" w:themeColor="text1"/>
                <w:sz w:val="32"/>
                <w:szCs w:val="32"/>
                <w:lang w:eastAsia="zh-CN"/>
                <w14:textFill>
                  <w14:solidFill>
                    <w14:schemeClr w14:val="tx1"/>
                  </w14:solidFill>
                </w14:textFill>
              </w:rPr>
              <w:t>序</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val="0"/>
                <w:color w:val="000000" w:themeColor="text1"/>
                <w:sz w:val="28"/>
                <w:szCs w:val="28"/>
                <w:vertAlign w:val="baseline"/>
                <w:lang w:eastAsia="zh-CN"/>
                <w14:textFill>
                  <w14:solidFill>
                    <w14:schemeClr w14:val="tx1"/>
                  </w14:solidFill>
                </w14:textFill>
              </w:rPr>
            </w:pPr>
            <w:r>
              <w:rPr>
                <w:rFonts w:hint="eastAsia" w:ascii="楷体" w:hAnsi="楷体" w:eastAsia="楷体" w:cs="楷体"/>
                <w:b/>
                <w:bCs w:val="0"/>
                <w:color w:val="000000" w:themeColor="text1"/>
                <w:sz w:val="32"/>
                <w:szCs w:val="32"/>
                <w:lang w:eastAsia="zh-CN"/>
                <w14:textFill>
                  <w14:solidFill>
                    <w14:schemeClr w14:val="tx1"/>
                  </w14:solidFill>
                </w14:textFill>
              </w:rPr>
              <w:t>号</w:t>
            </w:r>
          </w:p>
        </w:tc>
        <w:tc>
          <w:tcPr>
            <w:tcW w:w="3788" w:type="dxa"/>
            <w:vMerge w:val="restart"/>
            <w:vAlign w:val="top"/>
          </w:tcPr>
          <w:p>
            <w:pPr>
              <w:keepNext w:val="0"/>
              <w:keepLines w:val="0"/>
              <w:pageBreakBefore w:val="0"/>
              <w:widowControl w:val="0"/>
              <w:kinsoku/>
              <w:wordWrap/>
              <w:overflowPunct/>
              <w:topLinePunct w:val="0"/>
              <w:autoSpaceDE/>
              <w:autoSpaceDN/>
              <w:bidi w:val="0"/>
              <w:adjustRightInd/>
              <w:snapToGrid/>
              <w:spacing w:line="1200" w:lineRule="auto"/>
              <w:jc w:val="center"/>
              <w:textAlignment w:val="auto"/>
              <w:rPr>
                <w:rFonts w:hint="eastAsia" w:ascii="楷体" w:hAnsi="楷体" w:eastAsia="楷体" w:cs="楷体"/>
                <w:b/>
                <w:bCs w:val="0"/>
                <w:color w:val="000000" w:themeColor="text1"/>
                <w:sz w:val="28"/>
                <w:szCs w:val="28"/>
                <w:vertAlign w:val="baseline"/>
                <w:lang w:eastAsia="zh-CN"/>
                <w14:textFill>
                  <w14:solidFill>
                    <w14:schemeClr w14:val="tx1"/>
                  </w14:solidFill>
                </w14:textFill>
              </w:rPr>
            </w:pPr>
            <w:r>
              <w:rPr>
                <w:rFonts w:hint="eastAsia" w:ascii="楷体" w:hAnsi="楷体" w:eastAsia="楷体" w:cs="楷体"/>
                <w:b/>
                <w:bCs w:val="0"/>
                <w:color w:val="000000" w:themeColor="text1"/>
                <w:sz w:val="36"/>
                <w:szCs w:val="36"/>
                <w:lang w:eastAsia="zh-CN"/>
                <w14:textFill>
                  <w14:solidFill>
                    <w14:schemeClr w14:val="tx1"/>
                  </w14:solidFill>
                </w14:textFill>
              </w:rPr>
              <w:t>名</w:t>
            </w:r>
            <w:r>
              <w:rPr>
                <w:rFonts w:hint="eastAsia" w:ascii="楷体" w:hAnsi="楷体" w:eastAsia="楷体" w:cs="楷体"/>
                <w:b/>
                <w:bCs w:val="0"/>
                <w:color w:val="000000" w:themeColor="text1"/>
                <w:sz w:val="36"/>
                <w:szCs w:val="36"/>
                <w:lang w:val="en-US" w:eastAsia="zh-CN"/>
                <w14:textFill>
                  <w14:solidFill>
                    <w14:schemeClr w14:val="tx1"/>
                  </w14:solidFill>
                </w14:textFill>
              </w:rPr>
              <w:t xml:space="preserve">  </w:t>
            </w:r>
            <w:r>
              <w:rPr>
                <w:rFonts w:hint="eastAsia" w:ascii="楷体" w:hAnsi="楷体" w:eastAsia="楷体" w:cs="楷体"/>
                <w:b/>
                <w:bCs w:val="0"/>
                <w:color w:val="000000" w:themeColor="text1"/>
                <w:sz w:val="36"/>
                <w:szCs w:val="36"/>
                <w:lang w:eastAsia="zh-CN"/>
                <w14:textFill>
                  <w14:solidFill>
                    <w14:schemeClr w14:val="tx1"/>
                  </w14:solidFill>
                </w14:textFill>
              </w:rPr>
              <w:t>称</w:t>
            </w:r>
          </w:p>
        </w:tc>
        <w:tc>
          <w:tcPr>
            <w:tcW w:w="2400" w:type="dxa"/>
            <w:gridSpan w:val="2"/>
            <w:vAlign w:val="top"/>
          </w:tcPr>
          <w:p>
            <w:pPr>
              <w:keepNext w:val="0"/>
              <w:keepLines w:val="0"/>
              <w:pageBreakBefore w:val="0"/>
              <w:widowControl w:val="0"/>
              <w:kinsoku/>
              <w:wordWrap/>
              <w:overflowPunct/>
              <w:topLinePunct w:val="0"/>
              <w:bidi w:val="0"/>
              <w:spacing w:line="540" w:lineRule="exact"/>
              <w:jc w:val="center"/>
              <w:textAlignment w:val="auto"/>
              <w:rPr>
                <w:rFonts w:hint="eastAsia" w:ascii="楷体" w:hAnsi="楷体" w:eastAsia="楷体" w:cs="楷体"/>
                <w:b/>
                <w:bCs w:val="0"/>
                <w:color w:val="000000" w:themeColor="text1"/>
                <w:sz w:val="28"/>
                <w:szCs w:val="28"/>
                <w:vertAlign w:val="baseline"/>
                <w:lang w:eastAsia="zh-CN"/>
                <w14:textFill>
                  <w14:solidFill>
                    <w14:schemeClr w14:val="tx1"/>
                  </w14:solidFill>
                </w14:textFill>
              </w:rPr>
            </w:pPr>
            <w:r>
              <w:rPr>
                <w:rFonts w:hint="eastAsia" w:ascii="楷体" w:hAnsi="楷体" w:eastAsia="楷体" w:cs="楷体"/>
                <w:b/>
                <w:bCs w:val="0"/>
                <w:color w:val="000000" w:themeColor="text1"/>
                <w:sz w:val="32"/>
                <w:szCs w:val="32"/>
                <w:lang w:eastAsia="zh-CN"/>
                <w14:textFill>
                  <w14:solidFill>
                    <w14:schemeClr w14:val="tx1"/>
                  </w14:solidFill>
                </w14:textFill>
              </w:rPr>
              <w:t>指标</w:t>
            </w:r>
          </w:p>
        </w:tc>
        <w:tc>
          <w:tcPr>
            <w:tcW w:w="1011" w:type="dxa"/>
            <w:vMerge w:val="restart"/>
            <w:vAlign w:val="top"/>
          </w:tcPr>
          <w:p>
            <w:pPr>
              <w:keepNext w:val="0"/>
              <w:keepLines w:val="0"/>
              <w:pageBreakBefore w:val="0"/>
              <w:widowControl w:val="0"/>
              <w:kinsoku/>
              <w:wordWrap/>
              <w:overflowPunct/>
              <w:topLinePunct w:val="0"/>
              <w:autoSpaceDE/>
              <w:autoSpaceDN/>
              <w:bidi w:val="0"/>
              <w:adjustRightInd/>
              <w:snapToGrid/>
              <w:spacing w:line="1080" w:lineRule="auto"/>
              <w:jc w:val="center"/>
              <w:textAlignment w:val="auto"/>
              <w:rPr>
                <w:rFonts w:hint="eastAsia" w:ascii="楷体" w:hAnsi="楷体" w:eastAsia="楷体" w:cs="楷体"/>
                <w:b/>
                <w:bCs w:val="0"/>
                <w:color w:val="000000" w:themeColor="text1"/>
                <w:sz w:val="32"/>
                <w:szCs w:val="32"/>
                <w:vertAlign w:val="baseline"/>
                <w:lang w:eastAsia="zh-CN"/>
                <w14:textFill>
                  <w14:solidFill>
                    <w14:schemeClr w14:val="tx1"/>
                  </w14:solidFill>
                </w14:textFill>
              </w:rPr>
            </w:pPr>
            <w:r>
              <w:rPr>
                <w:rFonts w:hint="eastAsia" w:ascii="楷体" w:hAnsi="楷体" w:eastAsia="楷体" w:cs="楷体"/>
                <w:b/>
                <w:bCs w:val="0"/>
                <w:color w:val="000000" w:themeColor="text1"/>
                <w:sz w:val="32"/>
                <w:szCs w:val="32"/>
                <w:lang w:eastAsia="zh-CN"/>
                <w14:textFill>
                  <w14:solidFill>
                    <w14:schemeClr w14:val="tx1"/>
                  </w14:solidFill>
                </w14:textFill>
              </w:rPr>
              <w:t>属性</w:t>
            </w:r>
          </w:p>
        </w:tc>
        <w:tc>
          <w:tcPr>
            <w:tcW w:w="1044" w:type="dxa"/>
            <w:vMerge w:val="restart"/>
            <w:vAlign w:val="top"/>
          </w:tcPr>
          <w:p>
            <w:pPr>
              <w:keepNext w:val="0"/>
              <w:keepLines w:val="0"/>
              <w:pageBreakBefore w:val="0"/>
              <w:widowControl w:val="0"/>
              <w:kinsoku/>
              <w:wordWrap/>
              <w:overflowPunct/>
              <w:topLinePunct w:val="0"/>
              <w:autoSpaceDE/>
              <w:autoSpaceDN/>
              <w:bidi w:val="0"/>
              <w:adjustRightInd/>
              <w:snapToGrid/>
              <w:spacing w:line="1080" w:lineRule="auto"/>
              <w:jc w:val="center"/>
              <w:textAlignment w:val="auto"/>
              <w:rPr>
                <w:rFonts w:hint="eastAsia" w:ascii="楷体" w:hAnsi="楷体" w:eastAsia="楷体" w:cs="楷体"/>
                <w:b/>
                <w:bCs w:val="0"/>
                <w:color w:val="000000" w:themeColor="text1"/>
                <w:sz w:val="32"/>
                <w:szCs w:val="32"/>
                <w:vertAlign w:val="baseline"/>
                <w:lang w:eastAsia="zh-CN"/>
                <w14:textFill>
                  <w14:solidFill>
                    <w14:schemeClr w14:val="tx1"/>
                  </w14:solidFill>
                </w14:textFill>
              </w:rPr>
            </w:pPr>
            <w:r>
              <w:rPr>
                <w:rFonts w:hint="eastAsia" w:ascii="楷体" w:hAnsi="楷体" w:eastAsia="楷体" w:cs="楷体"/>
                <w:b/>
                <w:bCs w:val="0"/>
                <w:color w:val="000000" w:themeColor="text1"/>
                <w:sz w:val="32"/>
                <w:szCs w:val="32"/>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trPr>
        <w:tc>
          <w:tcPr>
            <w:tcW w:w="828" w:type="dxa"/>
            <w:vMerge w:val="continue"/>
            <w:vAlign w:val="top"/>
          </w:tcPr>
          <w:p>
            <w:pPr>
              <w:keepNext w:val="0"/>
              <w:keepLines w:val="0"/>
              <w:pageBreakBefore w:val="0"/>
              <w:widowControl w:val="0"/>
              <w:kinsoku/>
              <w:wordWrap/>
              <w:overflowPunct/>
              <w:topLinePunct w:val="0"/>
              <w:bidi w:val="0"/>
              <w:spacing w:line="540" w:lineRule="exact"/>
              <w:ind w:right="105" w:rightChars="50"/>
              <w:jc w:val="center"/>
              <w:textAlignment w:val="auto"/>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pPr>
          </w:p>
        </w:tc>
        <w:tc>
          <w:tcPr>
            <w:tcW w:w="3788" w:type="dxa"/>
            <w:vMerge w:val="continue"/>
            <w:vAlign w:val="top"/>
          </w:tcPr>
          <w:p>
            <w:pPr>
              <w:keepNext w:val="0"/>
              <w:keepLines w:val="0"/>
              <w:pageBreakBefore w:val="0"/>
              <w:widowControl w:val="0"/>
              <w:kinsoku/>
              <w:wordWrap/>
              <w:overflowPunct/>
              <w:topLinePunct w:val="0"/>
              <w:bidi w:val="0"/>
              <w:spacing w:line="540" w:lineRule="exact"/>
              <w:ind w:right="105" w:rightChars="50"/>
              <w:jc w:val="center"/>
              <w:textAlignment w:val="auto"/>
              <w:rPr>
                <w:rFonts w:hint="eastAsia" w:ascii="楷体" w:hAnsi="楷体" w:eastAsia="楷体" w:cs="楷体"/>
                <w:bCs/>
                <w:color w:val="000000" w:themeColor="text1"/>
                <w:sz w:val="28"/>
                <w:szCs w:val="28"/>
                <w:lang w:eastAsia="zh-CN"/>
                <w14:textFill>
                  <w14:solidFill>
                    <w14:schemeClr w14:val="tx1"/>
                  </w14:solidFill>
                </w14:textFill>
              </w:rPr>
            </w:pPr>
          </w:p>
        </w:tc>
        <w:tc>
          <w:tcPr>
            <w:tcW w:w="1198" w:type="dxa"/>
            <w:vAlign w:val="top"/>
          </w:tcPr>
          <w:p>
            <w:pPr>
              <w:keepNext w:val="0"/>
              <w:keepLines w:val="0"/>
              <w:pageBreakBefore w:val="0"/>
              <w:widowControl w:val="0"/>
              <w:kinsoku/>
              <w:wordWrap/>
              <w:overflowPunct/>
              <w:topLinePunct w:val="0"/>
              <w:autoSpaceDE/>
              <w:autoSpaceDN/>
              <w:bidi w:val="0"/>
              <w:adjustRightInd/>
              <w:snapToGrid/>
              <w:spacing w:line="720" w:lineRule="auto"/>
              <w:ind w:right="105" w:rightChars="50"/>
              <w:jc w:val="center"/>
              <w:textAlignment w:val="auto"/>
              <w:rPr>
                <w:rFonts w:hint="default" w:ascii="Times New Roman" w:hAnsi="方正仿宋_GBK" w:eastAsia="方正仿宋_GBK" w:cs="方正仿宋_GBK"/>
                <w:b/>
                <w:bCs/>
                <w:color w:val="000000" w:themeColor="text1"/>
                <w:kern w:val="2"/>
                <w:sz w:val="28"/>
                <w:szCs w:val="28"/>
                <w:lang w:val="en-US" w:eastAsia="zh-CN" w:bidi="ar"/>
                <w14:textFill>
                  <w14:solidFill>
                    <w14:schemeClr w14:val="tx1"/>
                  </w14:solidFill>
                </w14:textFill>
              </w:rPr>
            </w:pPr>
            <w:r>
              <w:rPr>
                <w:rFonts w:hint="eastAsia" w:ascii="Times New Roman" w:hAnsi="方正仿宋_GBK" w:eastAsia="方正仿宋_GBK" w:cs="方正仿宋_GBK"/>
                <w:b/>
                <w:bCs/>
                <w:color w:val="000000" w:themeColor="text1"/>
                <w:kern w:val="2"/>
                <w:sz w:val="28"/>
                <w:szCs w:val="28"/>
                <w:lang w:val="en-US" w:eastAsia="zh-CN" w:bidi="ar"/>
                <w14:textFill>
                  <w14:solidFill>
                    <w14:schemeClr w14:val="tx1"/>
                  </w14:solidFill>
                </w14:textFill>
              </w:rPr>
              <w:t>2020年</w:t>
            </w:r>
          </w:p>
        </w:tc>
        <w:tc>
          <w:tcPr>
            <w:tcW w:w="1202" w:type="dxa"/>
            <w:vAlign w:val="top"/>
          </w:tcPr>
          <w:p>
            <w:pPr>
              <w:keepNext w:val="0"/>
              <w:keepLines w:val="0"/>
              <w:pageBreakBefore w:val="0"/>
              <w:widowControl w:val="0"/>
              <w:kinsoku/>
              <w:wordWrap/>
              <w:overflowPunct/>
              <w:topLinePunct w:val="0"/>
              <w:autoSpaceDE/>
              <w:autoSpaceDN/>
              <w:bidi w:val="0"/>
              <w:adjustRightInd/>
              <w:snapToGrid/>
              <w:spacing w:line="720" w:lineRule="auto"/>
              <w:ind w:right="105" w:rightChars="50"/>
              <w:jc w:val="center"/>
              <w:textAlignment w:val="auto"/>
              <w:rPr>
                <w:rFonts w:hint="default" w:ascii="Times New Roman" w:hAnsi="方正仿宋_GBK" w:eastAsia="方正仿宋_GBK" w:cs="方正仿宋_GBK"/>
                <w:b/>
                <w:bCs/>
                <w:color w:val="000000" w:themeColor="text1"/>
                <w:kern w:val="2"/>
                <w:sz w:val="28"/>
                <w:szCs w:val="28"/>
                <w:lang w:val="en-US" w:eastAsia="zh-CN" w:bidi="ar"/>
                <w14:textFill>
                  <w14:solidFill>
                    <w14:schemeClr w14:val="tx1"/>
                  </w14:solidFill>
                </w14:textFill>
              </w:rPr>
            </w:pPr>
            <w:r>
              <w:rPr>
                <w:rFonts w:hint="eastAsia" w:ascii="Times New Roman" w:hAnsi="方正仿宋_GBK" w:eastAsia="方正仿宋_GBK" w:cs="方正仿宋_GBK"/>
                <w:b/>
                <w:bCs/>
                <w:color w:val="000000" w:themeColor="text1"/>
                <w:kern w:val="2"/>
                <w:sz w:val="28"/>
                <w:szCs w:val="28"/>
                <w:lang w:val="en-US" w:eastAsia="zh-CN" w:bidi="ar"/>
                <w14:textFill>
                  <w14:solidFill>
                    <w14:schemeClr w14:val="tx1"/>
                  </w14:solidFill>
                </w14:textFill>
              </w:rPr>
              <w:t>2025年</w:t>
            </w:r>
          </w:p>
        </w:tc>
        <w:tc>
          <w:tcPr>
            <w:tcW w:w="1011" w:type="dxa"/>
            <w:vMerge w:val="continue"/>
            <w:vAlign w:val="top"/>
          </w:tcPr>
          <w:p>
            <w:pPr>
              <w:keepNext w:val="0"/>
              <w:keepLines w:val="0"/>
              <w:pageBreakBefore w:val="0"/>
              <w:widowControl w:val="0"/>
              <w:kinsoku/>
              <w:wordWrap/>
              <w:overflowPunct/>
              <w:topLinePunct w:val="0"/>
              <w:bidi w:val="0"/>
              <w:spacing w:line="360" w:lineRule="auto"/>
              <w:ind w:right="105" w:rightChars="50"/>
              <w:jc w:val="center"/>
              <w:textAlignment w:val="auto"/>
              <w:rPr>
                <w:rFonts w:hint="eastAsia" w:ascii="楷体" w:hAnsi="楷体" w:eastAsia="楷体" w:cs="楷体"/>
                <w:bCs/>
                <w:color w:val="000000" w:themeColor="text1"/>
                <w:sz w:val="28"/>
                <w:szCs w:val="28"/>
                <w:lang w:eastAsia="zh-CN"/>
                <w14:textFill>
                  <w14:solidFill>
                    <w14:schemeClr w14:val="tx1"/>
                  </w14:solidFill>
                </w14:textFill>
              </w:rPr>
            </w:pPr>
          </w:p>
        </w:tc>
        <w:tc>
          <w:tcPr>
            <w:tcW w:w="1044" w:type="dxa"/>
            <w:vMerge w:val="continue"/>
            <w:vAlign w:val="top"/>
          </w:tcPr>
          <w:p>
            <w:pPr>
              <w:keepNext w:val="0"/>
              <w:keepLines w:val="0"/>
              <w:pageBreakBefore w:val="0"/>
              <w:widowControl w:val="0"/>
              <w:kinsoku/>
              <w:wordWrap/>
              <w:overflowPunct/>
              <w:topLinePunct w:val="0"/>
              <w:bidi w:val="0"/>
              <w:spacing w:line="540" w:lineRule="exact"/>
              <w:jc w:val="center"/>
              <w:textAlignment w:val="auto"/>
              <w:rPr>
                <w:rFonts w:hint="eastAsia" w:ascii="楷体" w:hAnsi="楷体" w:eastAsia="楷体" w:cs="楷体"/>
                <w:color w:val="000000" w:themeColor="text1"/>
                <w:sz w:val="28"/>
                <w:szCs w:val="2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1</w:t>
            </w:r>
          </w:p>
        </w:tc>
        <w:tc>
          <w:tcPr>
            <w:tcW w:w="378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eastAsia" w:ascii="楷体" w:hAnsi="楷体" w:eastAsia="楷体" w:cs="楷体"/>
                <w:bCs/>
                <w:color w:val="000000" w:themeColor="text1"/>
                <w:sz w:val="28"/>
                <w:szCs w:val="28"/>
                <w:lang w:eastAsia="zh-CN"/>
                <w14:textFill>
                  <w14:solidFill>
                    <w14:schemeClr w14:val="tx1"/>
                  </w14:solidFill>
                </w14:textFill>
              </w:rPr>
            </w:pPr>
            <w:r>
              <w:rPr>
                <w:rFonts w:hint="eastAsia" w:ascii="楷体" w:hAnsi="楷体" w:eastAsia="楷体" w:cs="楷体"/>
                <w:bCs/>
                <w:color w:val="000000" w:themeColor="text1"/>
                <w:sz w:val="28"/>
                <w:szCs w:val="28"/>
                <w:lang w:eastAsia="zh-CN"/>
                <w14:textFill>
                  <w14:solidFill>
                    <w14:schemeClr w14:val="tx1"/>
                  </w14:solidFill>
                </w14:textFill>
              </w:rPr>
              <w:t>森林覆盖率</w:t>
            </w:r>
            <w:r>
              <w:rPr>
                <w:rFonts w:hint="eastAsia" w:ascii="楷体" w:hAnsi="楷体" w:eastAsia="楷体" w:cs="楷体"/>
                <w:color w:val="000000" w:themeColor="text1"/>
                <w:sz w:val="28"/>
                <w:szCs w:val="28"/>
                <w:lang w:val="en-US" w:eastAsia="zh-CN"/>
                <w14:textFill>
                  <w14:solidFill>
                    <w14:schemeClr w14:val="tx1"/>
                  </w14:solidFill>
                </w14:textFill>
              </w:rPr>
              <w:t>（%）</w:t>
            </w:r>
          </w:p>
        </w:tc>
        <w:tc>
          <w:tcPr>
            <w:tcW w:w="119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楷体" w:hAnsi="楷体" w:eastAsia="楷体" w:cs="楷体"/>
                <w:bCs/>
                <w:color w:val="000000" w:themeColor="text1"/>
                <w:sz w:val="28"/>
                <w:szCs w:val="28"/>
                <w:lang w:val="en-US" w:eastAsia="zh-CN"/>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51.47</w:t>
            </w:r>
          </w:p>
        </w:tc>
        <w:tc>
          <w:tcPr>
            <w:tcW w:w="1202"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37.21</w:t>
            </w:r>
          </w:p>
        </w:tc>
        <w:tc>
          <w:tcPr>
            <w:tcW w:w="1011" w:type="dxa"/>
            <w:vAlign w:val="top"/>
          </w:tcPr>
          <w:p>
            <w:pPr>
              <w:keepNext w:val="0"/>
              <w:keepLines w:val="0"/>
              <w:pageBreakBefore w:val="0"/>
              <w:widowControl w:val="0"/>
              <w:kinsoku/>
              <w:wordWrap/>
              <w:overflowPunct/>
              <w:topLinePunct w:val="0"/>
              <w:autoSpaceDE/>
              <w:autoSpaceDN/>
              <w:bidi w:val="0"/>
              <w:adjustRightInd/>
              <w:snapToGrid/>
              <w:spacing w:line="840" w:lineRule="auto"/>
              <w:ind w:right="105" w:rightChars="50"/>
              <w:jc w:val="center"/>
              <w:textAlignment w:val="auto"/>
              <w:rPr>
                <w:rFonts w:hint="eastAsia" w:ascii="楷体" w:hAnsi="楷体" w:eastAsia="楷体" w:cs="楷体"/>
                <w:bCs/>
                <w:color w:val="000000" w:themeColor="text1"/>
                <w:sz w:val="22"/>
                <w:szCs w:val="22"/>
                <w:lang w:eastAsia="zh-CN"/>
                <w14:textFill>
                  <w14:solidFill>
                    <w14:schemeClr w14:val="tx1"/>
                  </w14:solidFill>
                </w14:textFill>
              </w:rPr>
            </w:pPr>
            <w:r>
              <w:rPr>
                <w:rFonts w:hint="eastAsia" w:ascii="楷体" w:hAnsi="楷体" w:eastAsia="楷体" w:cs="楷体"/>
                <w:bCs/>
                <w:color w:val="000000" w:themeColor="text1"/>
                <w:sz w:val="22"/>
                <w:szCs w:val="22"/>
                <w:lang w:eastAsia="zh-CN"/>
                <w14:textFill>
                  <w14:solidFill>
                    <w14:schemeClr w14:val="tx1"/>
                  </w14:solidFill>
                </w14:textFill>
              </w:rPr>
              <w:t>约束性</w:t>
            </w:r>
          </w:p>
        </w:tc>
        <w:tc>
          <w:tcPr>
            <w:tcW w:w="1044" w:type="dxa"/>
            <w:vAlign w:val="top"/>
          </w:tcPr>
          <w:p>
            <w:pPr>
              <w:keepNext w:val="0"/>
              <w:keepLines w:val="0"/>
              <w:pageBreakBefore w:val="0"/>
              <w:widowControl w:val="0"/>
              <w:kinsoku/>
              <w:wordWrap/>
              <w:overflowPunct/>
              <w:topLinePunct w:val="0"/>
              <w:bidi w:val="0"/>
              <w:spacing w:line="540" w:lineRule="exact"/>
              <w:jc w:val="center"/>
              <w:textAlignment w:val="auto"/>
              <w:rPr>
                <w:rFonts w:hint="eastAsia" w:ascii="楷体" w:hAnsi="楷体" w:eastAsia="楷体" w:cs="楷体"/>
                <w:color w:val="000000" w:themeColor="text1"/>
                <w:sz w:val="28"/>
                <w:szCs w:val="2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2</w:t>
            </w:r>
          </w:p>
        </w:tc>
        <w:tc>
          <w:tcPr>
            <w:tcW w:w="3788" w:type="dxa"/>
            <w:vAlign w:val="top"/>
          </w:tcPr>
          <w:p>
            <w:pPr>
              <w:keepNext w:val="0"/>
              <w:keepLines w:val="0"/>
              <w:pageBreakBefore w:val="0"/>
              <w:widowControl w:val="0"/>
              <w:kinsoku/>
              <w:wordWrap/>
              <w:overflowPunct/>
              <w:topLinePunct w:val="0"/>
              <w:bidi w:val="0"/>
              <w:spacing w:line="720" w:lineRule="auto"/>
              <w:jc w:val="center"/>
              <w:textAlignment w:val="auto"/>
              <w:rPr>
                <w:rFonts w:hint="eastAsia" w:ascii="楷体" w:hAnsi="楷体" w:eastAsia="楷体" w:cs="楷体"/>
                <w:color w:val="000000" w:themeColor="text1"/>
                <w:sz w:val="28"/>
                <w:szCs w:val="28"/>
                <w:vertAlign w:val="baseline"/>
                <w:lang w:eastAsia="zh-CN"/>
                <w14:textFill>
                  <w14:solidFill>
                    <w14:schemeClr w14:val="tx1"/>
                  </w14:solidFill>
                </w14:textFill>
              </w:rPr>
            </w:pPr>
            <w:r>
              <w:rPr>
                <w:rFonts w:hint="eastAsia" w:ascii="楷体" w:hAnsi="楷体" w:eastAsia="楷体" w:cs="楷体"/>
                <w:bCs/>
                <w:color w:val="000000" w:themeColor="text1"/>
                <w:sz w:val="28"/>
                <w:szCs w:val="28"/>
                <w:lang w:eastAsia="zh-CN"/>
                <w14:textFill>
                  <w14:solidFill>
                    <w14:schemeClr w14:val="tx1"/>
                  </w14:solidFill>
                </w14:textFill>
              </w:rPr>
              <w:t>森林蓄积量（</w:t>
            </w:r>
            <w:r>
              <w:rPr>
                <w:rFonts w:hint="eastAsia" w:ascii="楷体" w:hAnsi="楷体" w:eastAsia="楷体" w:cs="楷体"/>
                <w:bCs/>
                <w:color w:val="000000" w:themeColor="text1"/>
                <w:sz w:val="28"/>
                <w:szCs w:val="28"/>
                <w:lang w:val="en-US" w:eastAsia="zh-CN"/>
                <w14:textFill>
                  <w14:solidFill>
                    <w14:schemeClr w14:val="tx1"/>
                  </w14:solidFill>
                </w14:textFill>
              </w:rPr>
              <w:t>万</w:t>
            </w:r>
            <w:r>
              <w:rPr>
                <w:rFonts w:hint="eastAsia" w:ascii="楷体" w:hAnsi="楷体" w:eastAsia="楷体" w:cs="楷体"/>
                <w:bCs/>
                <w:color w:val="000000" w:themeColor="text1"/>
                <w:sz w:val="28"/>
                <w:szCs w:val="28"/>
                <w:lang w:eastAsia="zh-CN"/>
                <w14:textFill>
                  <w14:solidFill>
                    <w14:schemeClr w14:val="tx1"/>
                  </w14:solidFill>
                </w14:textFill>
              </w:rPr>
              <w:t>立方米）</w:t>
            </w:r>
          </w:p>
        </w:tc>
        <w:tc>
          <w:tcPr>
            <w:tcW w:w="1198" w:type="dxa"/>
            <w:vAlign w:val="top"/>
          </w:tcPr>
          <w:p>
            <w:pPr>
              <w:keepNext w:val="0"/>
              <w:keepLines w:val="0"/>
              <w:pageBreakBefore w:val="0"/>
              <w:widowControl w:val="0"/>
              <w:kinsoku/>
              <w:wordWrap/>
              <w:overflowPunct/>
              <w:topLinePunct w:val="0"/>
              <w:bidi w:val="0"/>
              <w:spacing w:line="720" w:lineRule="auto"/>
              <w:jc w:val="center"/>
              <w:textAlignment w:val="auto"/>
              <w:rPr>
                <w:rFonts w:hint="default" w:ascii="楷体" w:hAnsi="楷体" w:eastAsia="楷体" w:cs="楷体"/>
                <w:bCs/>
                <w:color w:val="000000" w:themeColor="text1"/>
                <w:sz w:val="28"/>
                <w:szCs w:val="28"/>
                <w:lang w:val="en-US" w:eastAsia="zh-CN"/>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218.84</w:t>
            </w:r>
          </w:p>
        </w:tc>
        <w:tc>
          <w:tcPr>
            <w:tcW w:w="1202"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158.21</w:t>
            </w:r>
          </w:p>
        </w:tc>
        <w:tc>
          <w:tcPr>
            <w:tcW w:w="1011" w:type="dxa"/>
            <w:vAlign w:val="top"/>
          </w:tcPr>
          <w:p>
            <w:pPr>
              <w:keepNext w:val="0"/>
              <w:keepLines w:val="0"/>
              <w:pageBreakBefore w:val="0"/>
              <w:widowControl w:val="0"/>
              <w:kinsoku/>
              <w:wordWrap/>
              <w:overflowPunct/>
              <w:topLinePunct w:val="0"/>
              <w:autoSpaceDE/>
              <w:autoSpaceDN/>
              <w:bidi w:val="0"/>
              <w:adjustRightInd/>
              <w:snapToGrid/>
              <w:spacing w:line="840" w:lineRule="auto"/>
              <w:ind w:right="105" w:rightChars="50"/>
              <w:jc w:val="center"/>
              <w:textAlignment w:val="auto"/>
              <w:rPr>
                <w:rFonts w:hint="eastAsia" w:ascii="楷体" w:hAnsi="楷体" w:eastAsia="楷体" w:cs="楷体"/>
                <w:bCs/>
                <w:color w:val="000000" w:themeColor="text1"/>
                <w:sz w:val="22"/>
                <w:szCs w:val="22"/>
                <w:lang w:eastAsia="zh-CN"/>
                <w14:textFill>
                  <w14:solidFill>
                    <w14:schemeClr w14:val="tx1"/>
                  </w14:solidFill>
                </w14:textFill>
              </w:rPr>
            </w:pPr>
            <w:r>
              <w:rPr>
                <w:rFonts w:hint="eastAsia" w:ascii="楷体" w:hAnsi="楷体" w:eastAsia="楷体" w:cs="楷体"/>
                <w:bCs/>
                <w:color w:val="000000" w:themeColor="text1"/>
                <w:sz w:val="22"/>
                <w:szCs w:val="22"/>
                <w:lang w:eastAsia="zh-CN"/>
                <w14:textFill>
                  <w14:solidFill>
                    <w14:schemeClr w14:val="tx1"/>
                  </w14:solidFill>
                </w14:textFill>
              </w:rPr>
              <w:t>约束性</w:t>
            </w:r>
          </w:p>
        </w:tc>
        <w:tc>
          <w:tcPr>
            <w:tcW w:w="1044" w:type="dxa"/>
            <w:vAlign w:val="top"/>
          </w:tcPr>
          <w:p>
            <w:pPr>
              <w:keepNext w:val="0"/>
              <w:keepLines w:val="0"/>
              <w:pageBreakBefore w:val="0"/>
              <w:widowControl w:val="0"/>
              <w:kinsoku/>
              <w:wordWrap/>
              <w:overflowPunct/>
              <w:topLinePunct w:val="0"/>
              <w:bidi w:val="0"/>
              <w:spacing w:line="540" w:lineRule="exact"/>
              <w:jc w:val="center"/>
              <w:textAlignment w:val="auto"/>
              <w:rPr>
                <w:rFonts w:hint="eastAsia" w:ascii="楷体" w:hAnsi="楷体" w:eastAsia="楷体" w:cs="楷体"/>
                <w:color w:val="000000" w:themeColor="text1"/>
                <w:sz w:val="28"/>
                <w:szCs w:val="2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3</w:t>
            </w:r>
          </w:p>
        </w:tc>
        <w:tc>
          <w:tcPr>
            <w:tcW w:w="378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eastAsia" w:ascii="楷体" w:hAnsi="楷体" w:eastAsia="楷体" w:cs="楷体"/>
                <w:bCs/>
                <w:color w:val="000000" w:themeColor="text1"/>
                <w:sz w:val="28"/>
                <w:szCs w:val="28"/>
                <w:lang w:eastAsia="zh-CN"/>
                <w14:textFill>
                  <w14:solidFill>
                    <w14:schemeClr w14:val="tx1"/>
                  </w14:solidFill>
                </w14:textFill>
              </w:rPr>
            </w:pPr>
            <w:r>
              <w:rPr>
                <w:rFonts w:hint="eastAsia" w:ascii="楷体" w:hAnsi="楷体" w:eastAsia="楷体" w:cs="楷体"/>
                <w:bCs/>
                <w:color w:val="000000" w:themeColor="text1"/>
                <w:sz w:val="28"/>
                <w:szCs w:val="28"/>
                <w:lang w:val="en-US" w:eastAsia="zh-CN"/>
                <w14:textFill>
                  <w14:solidFill>
                    <w14:schemeClr w14:val="tx1"/>
                  </w14:solidFill>
                </w14:textFill>
              </w:rPr>
              <w:t>草原综合植被盖度</w:t>
            </w:r>
            <w:r>
              <w:rPr>
                <w:rFonts w:hint="eastAsia" w:ascii="楷体" w:hAnsi="楷体" w:eastAsia="楷体" w:cs="楷体"/>
                <w:color w:val="000000" w:themeColor="text1"/>
                <w:sz w:val="28"/>
                <w:szCs w:val="28"/>
                <w:lang w:val="en-US" w:eastAsia="zh-CN"/>
                <w14:textFill>
                  <w14:solidFill>
                    <w14:schemeClr w14:val="tx1"/>
                  </w14:solidFill>
                </w14:textFill>
              </w:rPr>
              <w:t>（%）</w:t>
            </w:r>
          </w:p>
        </w:tc>
        <w:tc>
          <w:tcPr>
            <w:tcW w:w="119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83.64</w:t>
            </w:r>
          </w:p>
        </w:tc>
        <w:tc>
          <w:tcPr>
            <w:tcW w:w="1202"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84.00</w:t>
            </w:r>
          </w:p>
        </w:tc>
        <w:tc>
          <w:tcPr>
            <w:tcW w:w="1011" w:type="dxa"/>
            <w:vAlign w:val="top"/>
          </w:tcPr>
          <w:p>
            <w:pPr>
              <w:keepNext w:val="0"/>
              <w:keepLines w:val="0"/>
              <w:pageBreakBefore w:val="0"/>
              <w:widowControl w:val="0"/>
              <w:kinsoku/>
              <w:wordWrap/>
              <w:overflowPunct/>
              <w:topLinePunct w:val="0"/>
              <w:autoSpaceDE/>
              <w:autoSpaceDN/>
              <w:bidi w:val="0"/>
              <w:adjustRightInd/>
              <w:snapToGrid/>
              <w:spacing w:line="840" w:lineRule="auto"/>
              <w:ind w:right="105" w:rightChars="50"/>
              <w:jc w:val="center"/>
              <w:textAlignment w:val="auto"/>
              <w:rPr>
                <w:rFonts w:hint="eastAsia" w:ascii="楷体" w:hAnsi="楷体" w:eastAsia="楷体" w:cs="楷体"/>
                <w:bCs/>
                <w:color w:val="000000" w:themeColor="text1"/>
                <w:kern w:val="2"/>
                <w:sz w:val="22"/>
                <w:szCs w:val="22"/>
                <w:lang w:val="en-US" w:eastAsia="zh-CN" w:bidi="ar-SA"/>
                <w14:textFill>
                  <w14:solidFill>
                    <w14:schemeClr w14:val="tx1"/>
                  </w14:solidFill>
                </w14:textFill>
              </w:rPr>
            </w:pPr>
            <w:r>
              <w:rPr>
                <w:rFonts w:hint="eastAsia" w:ascii="楷体" w:hAnsi="楷体" w:eastAsia="楷体" w:cs="楷体"/>
                <w:bCs/>
                <w:color w:val="000000" w:themeColor="text1"/>
                <w:sz w:val="22"/>
                <w:szCs w:val="22"/>
                <w:lang w:eastAsia="zh-CN"/>
                <w14:textFill>
                  <w14:solidFill>
                    <w14:schemeClr w14:val="tx1"/>
                  </w14:solidFill>
                </w14:textFill>
              </w:rPr>
              <w:t>预期性</w:t>
            </w:r>
          </w:p>
        </w:tc>
        <w:tc>
          <w:tcPr>
            <w:tcW w:w="1044" w:type="dxa"/>
            <w:vAlign w:val="top"/>
          </w:tcPr>
          <w:p>
            <w:pPr>
              <w:keepNext w:val="0"/>
              <w:keepLines w:val="0"/>
              <w:pageBreakBefore w:val="0"/>
              <w:widowControl w:val="0"/>
              <w:kinsoku/>
              <w:wordWrap/>
              <w:overflowPunct/>
              <w:topLinePunct w:val="0"/>
              <w:bidi w:val="0"/>
              <w:spacing w:line="540" w:lineRule="exact"/>
              <w:jc w:val="center"/>
              <w:textAlignment w:val="auto"/>
              <w:rPr>
                <w:rFonts w:hint="eastAsia" w:ascii="楷体" w:hAnsi="楷体" w:eastAsia="楷体" w:cs="楷体"/>
                <w:color w:val="000000" w:themeColor="text1"/>
                <w:sz w:val="28"/>
                <w:szCs w:val="28"/>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top"/>
          </w:tcPr>
          <w:p>
            <w:pPr>
              <w:keepNext w:val="0"/>
              <w:keepLines w:val="0"/>
              <w:pageBreakBefore w:val="0"/>
              <w:widowControl w:val="0"/>
              <w:kinsoku/>
              <w:wordWrap/>
              <w:overflowPunct/>
              <w:topLinePunct w:val="0"/>
              <w:autoSpaceDE/>
              <w:autoSpaceDN/>
              <w:bidi w:val="0"/>
              <w:adjustRightInd/>
              <w:snapToGrid/>
              <w:spacing w:line="840" w:lineRule="auto"/>
              <w:ind w:right="105" w:rightChars="50"/>
              <w:jc w:val="center"/>
              <w:textAlignment w:val="auto"/>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4</w:t>
            </w:r>
          </w:p>
        </w:tc>
        <w:tc>
          <w:tcPr>
            <w:tcW w:w="3788" w:type="dxa"/>
            <w:vAlign w:val="top"/>
          </w:tcPr>
          <w:p>
            <w:pPr>
              <w:keepNext w:val="0"/>
              <w:keepLines w:val="0"/>
              <w:pageBreakBefore w:val="0"/>
              <w:widowControl w:val="0"/>
              <w:kinsoku/>
              <w:wordWrap/>
              <w:overflowPunct/>
              <w:topLinePunct w:val="0"/>
              <w:autoSpaceDE/>
              <w:autoSpaceDN/>
              <w:bidi w:val="0"/>
              <w:adjustRightInd/>
              <w:snapToGrid/>
              <w:spacing w:line="840" w:lineRule="auto"/>
              <w:jc w:val="center"/>
              <w:textAlignment w:val="auto"/>
              <w:rPr>
                <w:rFonts w:hint="eastAsia" w:ascii="楷体" w:hAnsi="楷体" w:eastAsia="楷体" w:cs="楷体"/>
                <w:color w:val="000000" w:themeColor="text1"/>
                <w:sz w:val="28"/>
                <w:szCs w:val="28"/>
                <w:highlight w:val="none"/>
                <w:vertAlign w:val="baseline"/>
                <w:lang w:eastAsia="zh-CN"/>
                <w14:textFill>
                  <w14:solidFill>
                    <w14:schemeClr w14:val="tx1"/>
                  </w14:solidFill>
                </w14:textFill>
              </w:rPr>
            </w:pPr>
            <w:r>
              <w:rPr>
                <w:rFonts w:hint="eastAsia" w:ascii="楷体" w:hAnsi="楷体" w:eastAsia="楷体" w:cs="楷体"/>
                <w:bCs/>
                <w:color w:val="000000" w:themeColor="text1"/>
                <w:sz w:val="28"/>
                <w:szCs w:val="28"/>
                <w:lang w:val="en-US" w:eastAsia="zh-CN"/>
                <w14:textFill>
                  <w14:solidFill>
                    <w14:schemeClr w14:val="tx1"/>
                  </w14:solidFill>
                </w14:textFill>
              </w:rPr>
              <w:t>自然保护地面积</w:t>
            </w:r>
            <w:r>
              <w:rPr>
                <w:rFonts w:hint="eastAsia" w:ascii="楷体" w:hAnsi="楷体" w:eastAsia="楷体" w:cs="楷体"/>
                <w:bCs/>
                <w:color w:val="000000" w:themeColor="text1"/>
                <w:sz w:val="24"/>
                <w:szCs w:val="24"/>
                <w:highlight w:val="none"/>
                <w:lang w:eastAsia="zh-CN"/>
                <w14:textFill>
                  <w14:solidFill>
                    <w14:schemeClr w14:val="tx1"/>
                  </w14:solidFill>
                </w14:textFill>
              </w:rPr>
              <w:t>（</w:t>
            </w:r>
            <w:r>
              <w:rPr>
                <w:rFonts w:hint="eastAsia" w:ascii="楷体" w:hAnsi="楷体" w:eastAsia="楷体" w:cs="楷体"/>
                <w:bCs/>
                <w:color w:val="000000" w:themeColor="text1"/>
                <w:sz w:val="24"/>
                <w:szCs w:val="24"/>
                <w:highlight w:val="none"/>
                <w:lang w:val="en-US" w:eastAsia="zh-CN"/>
                <w14:textFill>
                  <w14:solidFill>
                    <w14:schemeClr w14:val="tx1"/>
                  </w14:solidFill>
                </w14:textFill>
              </w:rPr>
              <w:t>万公顷</w:t>
            </w:r>
            <w:r>
              <w:rPr>
                <w:rFonts w:hint="eastAsia" w:ascii="楷体" w:hAnsi="楷体" w:eastAsia="楷体" w:cs="楷体"/>
                <w:bCs/>
                <w:color w:val="000000" w:themeColor="text1"/>
                <w:sz w:val="24"/>
                <w:szCs w:val="24"/>
                <w:highlight w:val="none"/>
                <w:lang w:eastAsia="zh-CN"/>
                <w14:textFill>
                  <w14:solidFill>
                    <w14:schemeClr w14:val="tx1"/>
                  </w14:solidFill>
                </w14:textFill>
              </w:rPr>
              <w:t>）</w:t>
            </w:r>
          </w:p>
        </w:tc>
        <w:tc>
          <w:tcPr>
            <w:tcW w:w="1198" w:type="dxa"/>
            <w:vAlign w:val="top"/>
          </w:tcPr>
          <w:p>
            <w:pPr>
              <w:keepNext w:val="0"/>
              <w:keepLines w:val="0"/>
              <w:pageBreakBefore w:val="0"/>
              <w:widowControl w:val="0"/>
              <w:kinsoku/>
              <w:wordWrap/>
              <w:overflowPunct/>
              <w:topLinePunct w:val="0"/>
              <w:autoSpaceDE/>
              <w:autoSpaceDN/>
              <w:bidi w:val="0"/>
              <w:adjustRightInd/>
              <w:snapToGrid/>
              <w:spacing w:line="840" w:lineRule="auto"/>
              <w:jc w:val="center"/>
              <w:textAlignment w:val="auto"/>
              <w:rPr>
                <w:rFonts w:hint="default" w:ascii="楷体" w:hAnsi="楷体" w:eastAsia="楷体" w:cs="楷体"/>
                <w:bCs/>
                <w:color w:val="000000" w:themeColor="text1"/>
                <w:sz w:val="28"/>
                <w:szCs w:val="28"/>
                <w:highlight w:val="none"/>
                <w:lang w:val="en-US" w:eastAsia="zh-CN"/>
                <w14:textFill>
                  <w14:solidFill>
                    <w14:schemeClr w14:val="tx1"/>
                  </w14:solidFill>
                </w14:textFill>
              </w:rPr>
            </w:pPr>
            <w:r>
              <w:rPr>
                <w:rFonts w:hint="eastAsia" w:ascii="Times New Roman" w:hAnsi="方正仿宋_GBK" w:eastAsia="方正仿宋_GBK" w:cs="方正仿宋_GBK"/>
                <w:color w:val="000000" w:themeColor="text1"/>
                <w:kern w:val="2"/>
                <w:sz w:val="28"/>
                <w:szCs w:val="28"/>
                <w:highlight w:val="none"/>
                <w:lang w:val="en-US" w:eastAsia="zh-CN" w:bidi="ar"/>
                <w14:textFill>
                  <w14:solidFill>
                    <w14:schemeClr w14:val="tx1"/>
                  </w14:solidFill>
                </w14:textFill>
              </w:rPr>
              <w:t>1.73</w:t>
            </w:r>
          </w:p>
        </w:tc>
        <w:tc>
          <w:tcPr>
            <w:tcW w:w="1202" w:type="dxa"/>
            <w:vAlign w:val="top"/>
          </w:tcPr>
          <w:p>
            <w:pPr>
              <w:keepNext w:val="0"/>
              <w:keepLines w:val="0"/>
              <w:pageBreakBefore w:val="0"/>
              <w:widowControl w:val="0"/>
              <w:kinsoku/>
              <w:wordWrap/>
              <w:overflowPunct/>
              <w:topLinePunct w:val="0"/>
              <w:autoSpaceDE/>
              <w:autoSpaceDN/>
              <w:bidi w:val="0"/>
              <w:adjustRightInd/>
              <w:snapToGrid/>
              <w:spacing w:line="840" w:lineRule="auto"/>
              <w:ind w:right="105" w:rightChars="50"/>
              <w:jc w:val="center"/>
              <w:textAlignment w:val="auto"/>
              <w:rPr>
                <w:rFonts w:hint="eastAsia" w:ascii="Times New Roman" w:hAnsi="方正仿宋_GBK" w:eastAsia="方正仿宋_GBK" w:cs="方正仿宋_GBK"/>
                <w:color w:val="000000" w:themeColor="text1"/>
                <w:kern w:val="2"/>
                <w:sz w:val="28"/>
                <w:szCs w:val="28"/>
                <w:highlight w:val="none"/>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highlight w:val="none"/>
                <w:lang w:val="en-US" w:eastAsia="zh-CN" w:bidi="ar"/>
                <w14:textFill>
                  <w14:solidFill>
                    <w14:schemeClr w14:val="tx1"/>
                  </w14:solidFill>
                </w14:textFill>
              </w:rPr>
              <w:t>2.99</w:t>
            </w:r>
          </w:p>
        </w:tc>
        <w:tc>
          <w:tcPr>
            <w:tcW w:w="1011" w:type="dxa"/>
            <w:vAlign w:val="top"/>
          </w:tcPr>
          <w:p>
            <w:pPr>
              <w:keepNext w:val="0"/>
              <w:keepLines w:val="0"/>
              <w:pageBreakBefore w:val="0"/>
              <w:widowControl w:val="0"/>
              <w:kinsoku/>
              <w:wordWrap/>
              <w:overflowPunct/>
              <w:topLinePunct w:val="0"/>
              <w:autoSpaceDE/>
              <w:autoSpaceDN/>
              <w:bidi w:val="0"/>
              <w:adjustRightInd/>
              <w:snapToGrid/>
              <w:spacing w:line="840" w:lineRule="auto"/>
              <w:ind w:right="105" w:rightChars="50"/>
              <w:jc w:val="center"/>
              <w:textAlignment w:val="auto"/>
              <w:rPr>
                <w:rFonts w:hint="eastAsia" w:ascii="楷体" w:hAnsi="楷体" w:eastAsia="楷体" w:cs="楷体"/>
                <w:bCs/>
                <w:color w:val="000000" w:themeColor="text1"/>
                <w:sz w:val="22"/>
                <w:szCs w:val="22"/>
                <w:highlight w:val="none"/>
                <w:lang w:eastAsia="zh-CN"/>
                <w14:textFill>
                  <w14:solidFill>
                    <w14:schemeClr w14:val="tx1"/>
                  </w14:solidFill>
                </w14:textFill>
              </w:rPr>
            </w:pPr>
            <w:r>
              <w:rPr>
                <w:rFonts w:hint="eastAsia" w:ascii="楷体" w:hAnsi="楷体" w:eastAsia="楷体" w:cs="楷体"/>
                <w:bCs/>
                <w:color w:val="000000" w:themeColor="text1"/>
                <w:sz w:val="22"/>
                <w:szCs w:val="22"/>
                <w:highlight w:val="none"/>
                <w:lang w:eastAsia="zh-CN"/>
                <w14:textFill>
                  <w14:solidFill>
                    <w14:schemeClr w14:val="tx1"/>
                  </w14:solidFill>
                </w14:textFill>
              </w:rPr>
              <w:t>预期性</w:t>
            </w:r>
          </w:p>
        </w:tc>
        <w:tc>
          <w:tcPr>
            <w:tcW w:w="1044" w:type="dxa"/>
            <w:vAlign w:val="top"/>
          </w:tcPr>
          <w:p>
            <w:pPr>
              <w:keepNext w:val="0"/>
              <w:keepLines w:val="0"/>
              <w:pageBreakBefore w:val="0"/>
              <w:widowControl w:val="0"/>
              <w:kinsoku/>
              <w:wordWrap/>
              <w:overflowPunct/>
              <w:topLinePunct w:val="0"/>
              <w:bidi w:val="0"/>
              <w:spacing w:line="240" w:lineRule="auto"/>
              <w:jc w:val="both"/>
              <w:textAlignment w:val="auto"/>
              <w:rPr>
                <w:rFonts w:hint="default" w:ascii="楷体" w:hAnsi="楷体" w:eastAsia="楷体" w:cs="楷体"/>
                <w:color w:val="000000" w:themeColor="text1"/>
                <w:sz w:val="28"/>
                <w:szCs w:val="28"/>
                <w:highlight w:val="none"/>
                <w:vertAlign w:val="baseline"/>
                <w:lang w:val="en-US" w:eastAsia="zh-CN"/>
                <w14:textFill>
                  <w14:solidFill>
                    <w14:schemeClr w14:val="tx1"/>
                  </w14:solidFill>
                </w14:textFill>
              </w:rPr>
            </w:pPr>
            <w:r>
              <w:rPr>
                <w:rFonts w:hint="eastAsia" w:ascii="楷体" w:hAnsi="楷体" w:eastAsia="楷体" w:cs="楷体"/>
                <w:color w:val="000000" w:themeColor="text1"/>
                <w:sz w:val="18"/>
                <w:szCs w:val="18"/>
                <w:highlight w:val="none"/>
                <w:vertAlign w:val="baseline"/>
                <w:lang w:val="en-US" w:eastAsia="zh-CN"/>
                <w14:textFill>
                  <w14:solidFill>
                    <w14:schemeClr w14:val="tx1"/>
                  </w14:solidFill>
                </w14:textFill>
              </w:rPr>
              <w:t>省级地质公园和风景名胜区累计面积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5</w:t>
            </w:r>
          </w:p>
        </w:tc>
        <w:tc>
          <w:tcPr>
            <w:tcW w:w="3788" w:type="dxa"/>
            <w:vAlign w:val="top"/>
          </w:tcPr>
          <w:p>
            <w:pPr>
              <w:keepNext w:val="0"/>
              <w:keepLines w:val="0"/>
              <w:pageBreakBefore w:val="0"/>
              <w:widowControl w:val="0"/>
              <w:kinsoku/>
              <w:wordWrap/>
              <w:overflowPunct/>
              <w:topLinePunct w:val="0"/>
              <w:bidi w:val="0"/>
              <w:spacing w:line="540" w:lineRule="exact"/>
              <w:ind w:right="105" w:rightChars="50"/>
              <w:jc w:val="center"/>
              <w:textAlignment w:val="auto"/>
              <w:rPr>
                <w:rFonts w:hint="eastAsia" w:ascii="楷体" w:hAnsi="楷体" w:eastAsia="楷体" w:cs="楷体"/>
                <w:bCs/>
                <w:color w:val="000000" w:themeColor="text1"/>
                <w:sz w:val="28"/>
                <w:szCs w:val="28"/>
                <w:highlight w:val="none"/>
                <w:lang w:val="en-US" w:eastAsia="zh-CN"/>
                <w14:textFill>
                  <w14:solidFill>
                    <w14:schemeClr w14:val="tx1"/>
                  </w14:solidFill>
                </w14:textFill>
              </w:rPr>
            </w:pPr>
            <w:r>
              <w:rPr>
                <w:rFonts w:hint="eastAsia" w:ascii="楷体" w:hAnsi="楷体" w:eastAsia="楷体" w:cs="楷体"/>
                <w:bCs/>
                <w:color w:val="000000" w:themeColor="text1"/>
                <w:sz w:val="28"/>
                <w:szCs w:val="28"/>
                <w:highlight w:val="none"/>
                <w:lang w:val="en-US" w:eastAsia="zh-CN"/>
                <w14:textFill>
                  <w14:solidFill>
                    <w14:schemeClr w14:val="tx1"/>
                  </w14:solidFill>
                </w14:textFill>
              </w:rPr>
              <w:t>自然保护地占国土面积比例</w:t>
            </w:r>
            <w:r>
              <w:rPr>
                <w:rFonts w:hint="eastAsia" w:ascii="楷体" w:hAnsi="楷体" w:eastAsia="楷体" w:cs="楷体"/>
                <w:color w:val="000000" w:themeColor="text1"/>
                <w:sz w:val="28"/>
                <w:szCs w:val="28"/>
                <w:highlight w:val="none"/>
                <w:lang w:val="en-US" w:eastAsia="zh-CN"/>
                <w14:textFill>
                  <w14:solidFill>
                    <w14:schemeClr w14:val="tx1"/>
                  </w14:solidFill>
                </w14:textFill>
              </w:rPr>
              <w:t>（%）</w:t>
            </w:r>
          </w:p>
        </w:tc>
        <w:tc>
          <w:tcPr>
            <w:tcW w:w="119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楷体" w:hAnsi="楷体" w:eastAsia="楷体" w:cs="楷体"/>
                <w:bCs/>
                <w:color w:val="000000" w:themeColor="text1"/>
                <w:sz w:val="28"/>
                <w:szCs w:val="28"/>
                <w:highlight w:val="none"/>
                <w:lang w:val="en-US" w:eastAsia="zh-CN"/>
                <w14:textFill>
                  <w14:solidFill>
                    <w14:schemeClr w14:val="tx1"/>
                  </w14:solidFill>
                </w14:textFill>
              </w:rPr>
            </w:pPr>
            <w:r>
              <w:rPr>
                <w:rFonts w:hint="eastAsia" w:ascii="Times New Roman" w:hAnsi="方正仿宋_GBK" w:eastAsia="方正仿宋_GBK" w:cs="方正仿宋_GBK"/>
                <w:color w:val="000000" w:themeColor="text1"/>
                <w:kern w:val="2"/>
                <w:sz w:val="28"/>
                <w:szCs w:val="28"/>
                <w:highlight w:val="none"/>
                <w:lang w:val="en-US" w:eastAsia="zh-CN" w:bidi="ar"/>
                <w14:textFill>
                  <w14:solidFill>
                    <w14:schemeClr w14:val="tx1"/>
                  </w14:solidFill>
                </w14:textFill>
              </w:rPr>
              <w:t>8.50</w:t>
            </w:r>
          </w:p>
        </w:tc>
        <w:tc>
          <w:tcPr>
            <w:tcW w:w="1202"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highlight w:val="none"/>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highlight w:val="none"/>
                <w:lang w:val="en-US" w:eastAsia="zh-CN" w:bidi="ar"/>
                <w14:textFill>
                  <w14:solidFill>
                    <w14:schemeClr w14:val="tx1"/>
                  </w14:solidFill>
                </w14:textFill>
              </w:rPr>
              <w:t>10.00</w:t>
            </w:r>
          </w:p>
        </w:tc>
        <w:tc>
          <w:tcPr>
            <w:tcW w:w="1011" w:type="dxa"/>
            <w:vAlign w:val="top"/>
          </w:tcPr>
          <w:p>
            <w:pPr>
              <w:keepNext w:val="0"/>
              <w:keepLines w:val="0"/>
              <w:pageBreakBefore w:val="0"/>
              <w:widowControl w:val="0"/>
              <w:kinsoku/>
              <w:wordWrap/>
              <w:overflowPunct/>
              <w:topLinePunct w:val="0"/>
              <w:autoSpaceDE/>
              <w:autoSpaceDN/>
              <w:bidi w:val="0"/>
              <w:adjustRightInd/>
              <w:snapToGrid/>
              <w:spacing w:line="840" w:lineRule="auto"/>
              <w:ind w:right="105" w:rightChars="50"/>
              <w:jc w:val="center"/>
              <w:textAlignment w:val="auto"/>
              <w:rPr>
                <w:rFonts w:hint="eastAsia" w:ascii="楷体" w:hAnsi="楷体" w:eastAsia="楷体" w:cs="楷体"/>
                <w:bCs/>
                <w:color w:val="000000" w:themeColor="text1"/>
                <w:sz w:val="22"/>
                <w:szCs w:val="22"/>
                <w:lang w:val="en-US" w:eastAsia="zh-CN"/>
                <w14:textFill>
                  <w14:solidFill>
                    <w14:schemeClr w14:val="tx1"/>
                  </w14:solidFill>
                </w14:textFill>
              </w:rPr>
            </w:pPr>
            <w:r>
              <w:rPr>
                <w:rFonts w:hint="eastAsia" w:ascii="楷体" w:hAnsi="楷体" w:eastAsia="楷体" w:cs="楷体"/>
                <w:bCs/>
                <w:color w:val="000000" w:themeColor="text1"/>
                <w:sz w:val="22"/>
                <w:szCs w:val="22"/>
                <w:lang w:val="en-US" w:eastAsia="zh-CN"/>
                <w14:textFill>
                  <w14:solidFill>
                    <w14:schemeClr w14:val="tx1"/>
                  </w14:solidFill>
                </w14:textFill>
              </w:rPr>
              <w:t>预期性</w:t>
            </w:r>
          </w:p>
        </w:tc>
        <w:tc>
          <w:tcPr>
            <w:tcW w:w="1044" w:type="dxa"/>
            <w:vAlign w:val="top"/>
          </w:tcPr>
          <w:p>
            <w:pPr>
              <w:keepNext w:val="0"/>
              <w:keepLines w:val="0"/>
              <w:pageBreakBefore w:val="0"/>
              <w:widowControl w:val="0"/>
              <w:kinsoku/>
              <w:wordWrap/>
              <w:overflowPunct/>
              <w:topLinePunct w:val="0"/>
              <w:bidi w:val="0"/>
              <w:spacing w:line="540" w:lineRule="exact"/>
              <w:ind w:right="105" w:rightChars="50"/>
              <w:jc w:val="center"/>
              <w:textAlignment w:val="auto"/>
              <w:rPr>
                <w:rFonts w:hint="eastAsia" w:ascii="楷体" w:hAnsi="楷体" w:eastAsia="楷体" w:cs="楷体"/>
                <w:bCs/>
                <w:color w:val="000000" w:themeColor="text1"/>
                <w:sz w:val="28"/>
                <w:szCs w:val="28"/>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6</w:t>
            </w:r>
          </w:p>
        </w:tc>
        <w:tc>
          <w:tcPr>
            <w:tcW w:w="378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eastAsia" w:ascii="楷体" w:hAnsi="楷体" w:eastAsia="楷体" w:cs="楷体"/>
                <w:bCs/>
                <w:color w:val="000000" w:themeColor="text1"/>
                <w:kern w:val="2"/>
                <w:sz w:val="28"/>
                <w:szCs w:val="28"/>
                <w:highlight w:val="none"/>
                <w:lang w:val="en-US" w:eastAsia="zh-CN" w:bidi="ar-SA"/>
                <w14:textFill>
                  <w14:solidFill>
                    <w14:schemeClr w14:val="tx1"/>
                  </w14:solidFill>
                </w14:textFill>
              </w:rPr>
            </w:pPr>
            <w:r>
              <w:rPr>
                <w:rFonts w:hint="eastAsia" w:ascii="楷体" w:hAnsi="楷体" w:eastAsia="楷体" w:cs="楷体"/>
                <w:bCs/>
                <w:color w:val="000000" w:themeColor="text1"/>
                <w:sz w:val="28"/>
                <w:szCs w:val="28"/>
                <w:highlight w:val="none"/>
                <w:lang w:eastAsia="zh-CN"/>
                <w14:textFill>
                  <w14:solidFill>
                    <w14:schemeClr w14:val="tx1"/>
                  </w14:solidFill>
                </w14:textFill>
              </w:rPr>
              <w:t>湿地保有量（</w:t>
            </w:r>
            <w:r>
              <w:rPr>
                <w:rFonts w:hint="eastAsia" w:ascii="楷体" w:hAnsi="楷体" w:eastAsia="楷体" w:cs="楷体"/>
                <w:bCs/>
                <w:color w:val="000000" w:themeColor="text1"/>
                <w:sz w:val="28"/>
                <w:szCs w:val="28"/>
                <w:highlight w:val="none"/>
                <w:lang w:val="en-US" w:eastAsia="zh-CN"/>
                <w14:textFill>
                  <w14:solidFill>
                    <w14:schemeClr w14:val="tx1"/>
                  </w14:solidFill>
                </w14:textFill>
              </w:rPr>
              <w:t>万亩</w:t>
            </w:r>
            <w:r>
              <w:rPr>
                <w:rFonts w:hint="eastAsia" w:ascii="楷体" w:hAnsi="楷体" w:eastAsia="楷体" w:cs="楷体"/>
                <w:bCs/>
                <w:color w:val="000000" w:themeColor="text1"/>
                <w:sz w:val="28"/>
                <w:szCs w:val="28"/>
                <w:highlight w:val="none"/>
                <w:lang w:eastAsia="zh-CN"/>
                <w14:textFill>
                  <w14:solidFill>
                    <w14:schemeClr w14:val="tx1"/>
                  </w14:solidFill>
                </w14:textFill>
              </w:rPr>
              <w:t>）</w:t>
            </w:r>
          </w:p>
        </w:tc>
        <w:tc>
          <w:tcPr>
            <w:tcW w:w="119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eastAsia" w:ascii="楷体" w:hAnsi="楷体" w:eastAsia="楷体" w:cs="楷体"/>
                <w:bCs/>
                <w:color w:val="000000" w:themeColor="text1"/>
                <w:kern w:val="2"/>
                <w:sz w:val="28"/>
                <w:szCs w:val="28"/>
                <w:highlight w:val="none"/>
                <w:lang w:val="en-US" w:eastAsia="zh-CN" w:bidi="ar-SA"/>
                <w14:textFill>
                  <w14:solidFill>
                    <w14:schemeClr w14:val="tx1"/>
                  </w14:solidFill>
                </w14:textFill>
              </w:rPr>
            </w:pPr>
            <w:r>
              <w:rPr>
                <w:rFonts w:hint="eastAsia" w:ascii="Times New Roman" w:hAnsi="方正仿宋_GBK" w:eastAsia="方正仿宋_GBK" w:cs="方正仿宋_GBK"/>
                <w:color w:val="000000" w:themeColor="text1"/>
                <w:kern w:val="2"/>
                <w:sz w:val="28"/>
                <w:szCs w:val="28"/>
                <w:highlight w:val="none"/>
                <w:lang w:val="en-US" w:eastAsia="zh-CN" w:bidi="ar"/>
                <w14:textFill>
                  <w14:solidFill>
                    <w14:schemeClr w14:val="tx1"/>
                  </w14:solidFill>
                </w14:textFill>
              </w:rPr>
              <w:t>7.34</w:t>
            </w:r>
          </w:p>
        </w:tc>
        <w:tc>
          <w:tcPr>
            <w:tcW w:w="1202"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eastAsia" w:ascii="Times New Roman" w:hAnsi="方正仿宋_GBK" w:eastAsia="方正仿宋_GBK" w:cs="方正仿宋_GBK"/>
                <w:color w:val="000000" w:themeColor="text1"/>
                <w:kern w:val="2"/>
                <w:sz w:val="28"/>
                <w:szCs w:val="28"/>
                <w:highlight w:val="none"/>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highlight w:val="none"/>
                <w:lang w:val="en-US" w:eastAsia="zh-CN" w:bidi="ar"/>
                <w14:textFill>
                  <w14:solidFill>
                    <w14:schemeClr w14:val="tx1"/>
                  </w14:solidFill>
                </w14:textFill>
              </w:rPr>
              <w:t>7.50</w:t>
            </w:r>
          </w:p>
        </w:tc>
        <w:tc>
          <w:tcPr>
            <w:tcW w:w="1011" w:type="dxa"/>
            <w:vAlign w:val="top"/>
          </w:tcPr>
          <w:p>
            <w:pPr>
              <w:keepNext w:val="0"/>
              <w:keepLines w:val="0"/>
              <w:pageBreakBefore w:val="0"/>
              <w:widowControl w:val="0"/>
              <w:kinsoku/>
              <w:wordWrap/>
              <w:overflowPunct/>
              <w:topLinePunct w:val="0"/>
              <w:autoSpaceDE/>
              <w:autoSpaceDN/>
              <w:bidi w:val="0"/>
              <w:adjustRightInd/>
              <w:snapToGrid/>
              <w:spacing w:line="840" w:lineRule="auto"/>
              <w:ind w:right="105" w:rightChars="50"/>
              <w:jc w:val="center"/>
              <w:textAlignment w:val="auto"/>
              <w:rPr>
                <w:rFonts w:hint="eastAsia" w:ascii="楷体" w:hAnsi="楷体" w:eastAsia="楷体" w:cs="楷体"/>
                <w:bCs/>
                <w:color w:val="000000" w:themeColor="text1"/>
                <w:kern w:val="2"/>
                <w:sz w:val="22"/>
                <w:szCs w:val="22"/>
                <w:lang w:val="en-US" w:eastAsia="zh-CN" w:bidi="ar-SA"/>
                <w14:textFill>
                  <w14:solidFill>
                    <w14:schemeClr w14:val="tx1"/>
                  </w14:solidFill>
                </w14:textFill>
              </w:rPr>
            </w:pPr>
            <w:r>
              <w:rPr>
                <w:rFonts w:hint="eastAsia" w:ascii="楷体" w:hAnsi="楷体" w:eastAsia="楷体" w:cs="楷体"/>
                <w:bCs/>
                <w:color w:val="000000" w:themeColor="text1"/>
                <w:sz w:val="22"/>
                <w:szCs w:val="22"/>
                <w:lang w:eastAsia="zh-CN"/>
                <w14:textFill>
                  <w14:solidFill>
                    <w14:schemeClr w14:val="tx1"/>
                  </w14:solidFill>
                </w14:textFill>
              </w:rPr>
              <w:t>预期性</w:t>
            </w:r>
          </w:p>
        </w:tc>
        <w:tc>
          <w:tcPr>
            <w:tcW w:w="1044" w:type="dxa"/>
            <w:vAlign w:val="top"/>
          </w:tcPr>
          <w:p>
            <w:pPr>
              <w:keepNext w:val="0"/>
              <w:keepLines w:val="0"/>
              <w:pageBreakBefore w:val="0"/>
              <w:widowControl w:val="0"/>
              <w:kinsoku/>
              <w:wordWrap/>
              <w:overflowPunct/>
              <w:topLinePunct w:val="0"/>
              <w:bidi w:val="0"/>
              <w:spacing w:line="240" w:lineRule="auto"/>
              <w:jc w:val="center"/>
              <w:textAlignment w:val="auto"/>
              <w:rPr>
                <w:rFonts w:hint="default" w:ascii="楷体" w:hAnsi="楷体" w:eastAsia="楷体" w:cs="楷体"/>
                <w:color w:val="000000" w:themeColor="text1"/>
                <w:sz w:val="18"/>
                <w:szCs w:val="18"/>
                <w:highlight w:val="none"/>
                <w:vertAlign w:val="baseline"/>
                <w:lang w:val="en-US" w:eastAsia="zh-CN"/>
                <w14:textFill>
                  <w14:solidFill>
                    <w14:schemeClr w14:val="tx1"/>
                  </w14:solidFill>
                </w14:textFill>
              </w:rPr>
            </w:pPr>
            <w:r>
              <w:rPr>
                <w:rFonts w:hint="eastAsia" w:ascii="楷体" w:hAnsi="楷体" w:eastAsia="楷体" w:cs="楷体"/>
                <w:color w:val="000000" w:themeColor="text1"/>
                <w:sz w:val="18"/>
                <w:szCs w:val="18"/>
                <w:highlight w:val="none"/>
                <w:vertAlign w:val="baseline"/>
                <w:lang w:val="en-US" w:eastAsia="zh-CN"/>
                <w14:textFill>
                  <w14:solidFill>
                    <w14:schemeClr w14:val="tx1"/>
                  </w14:solidFill>
                </w14:textFill>
              </w:rPr>
              <w:t>含人工湿地和自然湿地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2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7</w:t>
            </w:r>
          </w:p>
        </w:tc>
        <w:tc>
          <w:tcPr>
            <w:tcW w:w="378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eastAsia" w:ascii="楷体" w:hAnsi="楷体" w:eastAsia="楷体" w:cs="楷体"/>
                <w:bCs/>
                <w:color w:val="000000" w:themeColor="text1"/>
                <w:sz w:val="28"/>
                <w:szCs w:val="28"/>
                <w:highlight w:val="none"/>
                <w:lang w:val="en-US" w:eastAsia="zh-CN"/>
                <w14:textFill>
                  <w14:solidFill>
                    <w14:schemeClr w14:val="tx1"/>
                  </w14:solidFill>
                </w14:textFill>
              </w:rPr>
            </w:pPr>
            <w:r>
              <w:rPr>
                <w:rFonts w:hint="eastAsia" w:ascii="楷体" w:hAnsi="楷体" w:eastAsia="楷体" w:cs="楷体"/>
                <w:bCs/>
                <w:color w:val="000000" w:themeColor="text1"/>
                <w:sz w:val="28"/>
                <w:szCs w:val="28"/>
                <w:highlight w:val="none"/>
                <w:lang w:val="en-US" w:eastAsia="zh-CN"/>
                <w14:textFill>
                  <w14:solidFill>
                    <w14:schemeClr w14:val="tx1"/>
                  </w14:solidFill>
                </w14:textFill>
              </w:rPr>
              <w:t>湿地保护率</w:t>
            </w:r>
            <w:r>
              <w:rPr>
                <w:rFonts w:hint="eastAsia" w:ascii="楷体" w:hAnsi="楷体" w:eastAsia="楷体" w:cs="楷体"/>
                <w:color w:val="000000" w:themeColor="text1"/>
                <w:sz w:val="28"/>
                <w:szCs w:val="28"/>
                <w:highlight w:val="none"/>
                <w:lang w:val="en-US" w:eastAsia="zh-CN"/>
                <w14:textFill>
                  <w14:solidFill>
                    <w14:schemeClr w14:val="tx1"/>
                  </w14:solidFill>
                </w14:textFill>
              </w:rPr>
              <w:t>（%）</w:t>
            </w:r>
          </w:p>
        </w:tc>
        <w:tc>
          <w:tcPr>
            <w:tcW w:w="119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楷体" w:hAnsi="楷体" w:eastAsia="楷体" w:cs="楷体"/>
                <w:bCs/>
                <w:color w:val="000000" w:themeColor="text1"/>
                <w:sz w:val="28"/>
                <w:szCs w:val="28"/>
                <w:highlight w:val="none"/>
                <w:lang w:val="en-US" w:eastAsia="zh-CN"/>
                <w14:textFill>
                  <w14:solidFill>
                    <w14:schemeClr w14:val="tx1"/>
                  </w14:solidFill>
                </w14:textFill>
              </w:rPr>
            </w:pPr>
            <w:r>
              <w:rPr>
                <w:rFonts w:hint="eastAsia" w:ascii="Times New Roman" w:hAnsi="方正仿宋_GBK" w:eastAsia="方正仿宋_GBK" w:cs="方正仿宋_GBK"/>
                <w:color w:val="000000" w:themeColor="text1"/>
                <w:kern w:val="2"/>
                <w:sz w:val="28"/>
                <w:szCs w:val="28"/>
                <w:highlight w:val="none"/>
                <w:lang w:val="en-US" w:eastAsia="zh-CN" w:bidi="ar"/>
                <w14:textFill>
                  <w14:solidFill>
                    <w14:schemeClr w14:val="tx1"/>
                  </w14:solidFill>
                </w14:textFill>
              </w:rPr>
              <w:t>71.13</w:t>
            </w:r>
          </w:p>
        </w:tc>
        <w:tc>
          <w:tcPr>
            <w:tcW w:w="1202"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highlight w:val="none"/>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highlight w:val="none"/>
                <w:lang w:val="en-US" w:eastAsia="zh-CN" w:bidi="ar"/>
                <w14:textFill>
                  <w14:solidFill>
                    <w14:schemeClr w14:val="tx1"/>
                  </w14:solidFill>
                </w14:textFill>
              </w:rPr>
              <w:t>75.00</w:t>
            </w:r>
          </w:p>
        </w:tc>
        <w:tc>
          <w:tcPr>
            <w:tcW w:w="1011" w:type="dxa"/>
            <w:vAlign w:val="top"/>
          </w:tcPr>
          <w:p>
            <w:pPr>
              <w:keepNext w:val="0"/>
              <w:keepLines w:val="0"/>
              <w:pageBreakBefore w:val="0"/>
              <w:widowControl w:val="0"/>
              <w:kinsoku/>
              <w:wordWrap/>
              <w:overflowPunct/>
              <w:topLinePunct w:val="0"/>
              <w:autoSpaceDE/>
              <w:autoSpaceDN/>
              <w:bidi w:val="0"/>
              <w:adjustRightInd/>
              <w:snapToGrid/>
              <w:spacing w:line="840" w:lineRule="auto"/>
              <w:ind w:right="105" w:rightChars="50"/>
              <w:jc w:val="center"/>
              <w:textAlignment w:val="auto"/>
              <w:rPr>
                <w:rFonts w:hint="eastAsia" w:ascii="楷体" w:hAnsi="楷体" w:eastAsia="楷体" w:cs="楷体"/>
                <w:bCs/>
                <w:color w:val="000000" w:themeColor="text1"/>
                <w:sz w:val="22"/>
                <w:szCs w:val="22"/>
                <w:lang w:val="en-US" w:eastAsia="zh-CN"/>
                <w14:textFill>
                  <w14:solidFill>
                    <w14:schemeClr w14:val="tx1"/>
                  </w14:solidFill>
                </w14:textFill>
              </w:rPr>
            </w:pPr>
            <w:r>
              <w:rPr>
                <w:rFonts w:hint="eastAsia" w:ascii="楷体" w:hAnsi="楷体" w:eastAsia="楷体" w:cs="楷体"/>
                <w:bCs/>
                <w:color w:val="000000" w:themeColor="text1"/>
                <w:sz w:val="22"/>
                <w:szCs w:val="22"/>
                <w:lang w:val="en-US" w:eastAsia="zh-CN"/>
                <w14:textFill>
                  <w14:solidFill>
                    <w14:schemeClr w14:val="tx1"/>
                  </w14:solidFill>
                </w14:textFill>
              </w:rPr>
              <w:t>预期性</w:t>
            </w:r>
          </w:p>
        </w:tc>
        <w:tc>
          <w:tcPr>
            <w:tcW w:w="1044" w:type="dxa"/>
            <w:vAlign w:val="top"/>
          </w:tcPr>
          <w:p>
            <w:pPr>
              <w:keepNext w:val="0"/>
              <w:keepLines w:val="0"/>
              <w:pageBreakBefore w:val="0"/>
              <w:widowControl w:val="0"/>
              <w:kinsoku/>
              <w:wordWrap/>
              <w:overflowPunct/>
              <w:topLinePunct w:val="0"/>
              <w:bidi w:val="0"/>
              <w:spacing w:line="540" w:lineRule="exact"/>
              <w:ind w:right="105" w:rightChars="50"/>
              <w:jc w:val="center"/>
              <w:textAlignment w:val="auto"/>
              <w:rPr>
                <w:rFonts w:hint="eastAsia" w:ascii="楷体" w:hAnsi="楷体" w:eastAsia="楷体" w:cs="楷体"/>
                <w:bCs/>
                <w:color w:val="000000" w:themeColor="text1"/>
                <w:sz w:val="28"/>
                <w:szCs w:val="28"/>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8</w:t>
            </w:r>
          </w:p>
        </w:tc>
        <w:tc>
          <w:tcPr>
            <w:tcW w:w="378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eastAsia" w:ascii="楷体" w:hAnsi="楷体" w:eastAsia="楷体" w:cs="楷体"/>
                <w:bCs/>
                <w:color w:val="000000" w:themeColor="text1"/>
                <w:sz w:val="28"/>
                <w:szCs w:val="28"/>
                <w:highlight w:val="none"/>
                <w:lang w:val="en-US" w:eastAsia="zh-CN"/>
                <w14:textFill>
                  <w14:solidFill>
                    <w14:schemeClr w14:val="tx1"/>
                  </w14:solidFill>
                </w14:textFill>
              </w:rPr>
            </w:pPr>
            <w:r>
              <w:rPr>
                <w:rFonts w:hint="eastAsia" w:ascii="楷体" w:hAnsi="楷体" w:eastAsia="楷体" w:cs="楷体"/>
                <w:bCs/>
                <w:color w:val="000000" w:themeColor="text1"/>
                <w:sz w:val="28"/>
                <w:szCs w:val="28"/>
                <w:highlight w:val="none"/>
                <w:lang w:val="en-US" w:eastAsia="zh-CN"/>
                <w14:textFill>
                  <w14:solidFill>
                    <w14:schemeClr w14:val="tx1"/>
                  </w14:solidFill>
                </w14:textFill>
              </w:rPr>
              <w:t>湿地保护小区数量（个）</w:t>
            </w:r>
          </w:p>
        </w:tc>
        <w:tc>
          <w:tcPr>
            <w:tcW w:w="119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楷体" w:hAnsi="楷体" w:eastAsia="楷体" w:cs="楷体"/>
                <w:bCs/>
                <w:color w:val="000000" w:themeColor="text1"/>
                <w:sz w:val="28"/>
                <w:szCs w:val="28"/>
                <w:highlight w:val="none"/>
                <w:lang w:val="en-US" w:eastAsia="zh-CN"/>
                <w14:textFill>
                  <w14:solidFill>
                    <w14:schemeClr w14:val="tx1"/>
                  </w14:solidFill>
                </w14:textFill>
              </w:rPr>
            </w:pPr>
            <w:r>
              <w:rPr>
                <w:rFonts w:hint="eastAsia" w:ascii="Times New Roman" w:hAnsi="方正仿宋_GBK" w:eastAsia="方正仿宋_GBK" w:cs="方正仿宋_GBK"/>
                <w:color w:val="000000" w:themeColor="text1"/>
                <w:kern w:val="2"/>
                <w:sz w:val="28"/>
                <w:szCs w:val="28"/>
                <w:highlight w:val="none"/>
                <w:lang w:val="en-US" w:eastAsia="zh-CN" w:bidi="ar"/>
                <w14:textFill>
                  <w14:solidFill>
                    <w14:schemeClr w14:val="tx1"/>
                  </w14:solidFill>
                </w14:textFill>
              </w:rPr>
              <w:t>2.00</w:t>
            </w:r>
          </w:p>
        </w:tc>
        <w:tc>
          <w:tcPr>
            <w:tcW w:w="1202"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highlight w:val="none"/>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highlight w:val="none"/>
                <w:lang w:val="en-US" w:eastAsia="zh-CN" w:bidi="ar"/>
                <w14:textFill>
                  <w14:solidFill>
                    <w14:schemeClr w14:val="tx1"/>
                  </w14:solidFill>
                </w14:textFill>
              </w:rPr>
              <w:t>5.00</w:t>
            </w:r>
          </w:p>
        </w:tc>
        <w:tc>
          <w:tcPr>
            <w:tcW w:w="1011" w:type="dxa"/>
            <w:vAlign w:val="top"/>
          </w:tcPr>
          <w:p>
            <w:pPr>
              <w:keepNext w:val="0"/>
              <w:keepLines w:val="0"/>
              <w:pageBreakBefore w:val="0"/>
              <w:widowControl w:val="0"/>
              <w:kinsoku/>
              <w:wordWrap/>
              <w:overflowPunct/>
              <w:topLinePunct w:val="0"/>
              <w:autoSpaceDE/>
              <w:autoSpaceDN/>
              <w:bidi w:val="0"/>
              <w:adjustRightInd/>
              <w:snapToGrid/>
              <w:spacing w:line="840" w:lineRule="auto"/>
              <w:ind w:right="105" w:rightChars="50"/>
              <w:jc w:val="center"/>
              <w:textAlignment w:val="auto"/>
              <w:rPr>
                <w:rFonts w:hint="eastAsia" w:ascii="楷体" w:hAnsi="楷体" w:eastAsia="楷体" w:cs="楷体"/>
                <w:bCs/>
                <w:color w:val="000000" w:themeColor="text1"/>
                <w:sz w:val="22"/>
                <w:szCs w:val="22"/>
                <w:lang w:val="en-US" w:eastAsia="zh-CN"/>
                <w14:textFill>
                  <w14:solidFill>
                    <w14:schemeClr w14:val="tx1"/>
                  </w14:solidFill>
                </w14:textFill>
              </w:rPr>
            </w:pPr>
            <w:r>
              <w:rPr>
                <w:rFonts w:hint="eastAsia" w:ascii="楷体" w:hAnsi="楷体" w:eastAsia="楷体" w:cs="楷体"/>
                <w:bCs/>
                <w:color w:val="000000" w:themeColor="text1"/>
                <w:sz w:val="22"/>
                <w:szCs w:val="22"/>
                <w:lang w:val="en-US" w:eastAsia="zh-CN"/>
                <w14:textFill>
                  <w14:solidFill>
                    <w14:schemeClr w14:val="tx1"/>
                  </w14:solidFill>
                </w14:textFill>
              </w:rPr>
              <w:t>预期性</w:t>
            </w:r>
          </w:p>
        </w:tc>
        <w:tc>
          <w:tcPr>
            <w:tcW w:w="1044" w:type="dxa"/>
            <w:vAlign w:val="top"/>
          </w:tcPr>
          <w:p>
            <w:pPr>
              <w:keepNext w:val="0"/>
              <w:keepLines w:val="0"/>
              <w:pageBreakBefore w:val="0"/>
              <w:widowControl w:val="0"/>
              <w:kinsoku/>
              <w:wordWrap/>
              <w:overflowPunct/>
              <w:topLinePunct w:val="0"/>
              <w:bidi w:val="0"/>
              <w:spacing w:line="540" w:lineRule="exact"/>
              <w:ind w:right="105" w:rightChars="50"/>
              <w:jc w:val="center"/>
              <w:textAlignment w:val="auto"/>
              <w:rPr>
                <w:rFonts w:hint="eastAsia" w:ascii="楷体" w:hAnsi="楷体" w:eastAsia="楷体" w:cs="楷体"/>
                <w:bCs/>
                <w:color w:val="000000" w:themeColor="text1"/>
                <w:sz w:val="28"/>
                <w:szCs w:val="28"/>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top"/>
          </w:tcPr>
          <w:p>
            <w:pPr>
              <w:keepNext w:val="0"/>
              <w:keepLines w:val="0"/>
              <w:pageBreakBefore w:val="0"/>
              <w:widowControl w:val="0"/>
              <w:kinsoku/>
              <w:wordWrap/>
              <w:overflowPunct/>
              <w:topLinePunct w:val="0"/>
              <w:bidi w:val="0"/>
              <w:spacing w:line="540" w:lineRule="exact"/>
              <w:ind w:right="105" w:rightChars="50"/>
              <w:jc w:val="center"/>
              <w:textAlignment w:val="auto"/>
              <w:rPr>
                <w:rFonts w:hint="default" w:ascii="Times New Roman" w:hAnsi="方正仿宋_GBK" w:eastAsia="方正仿宋_GBK" w:cs="方正仿宋_GBK"/>
                <w:color w:val="000000" w:themeColor="text1"/>
                <w:kern w:val="2"/>
                <w:sz w:val="28"/>
                <w:szCs w:val="28"/>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9</w:t>
            </w:r>
          </w:p>
        </w:tc>
        <w:tc>
          <w:tcPr>
            <w:tcW w:w="3788" w:type="dxa"/>
            <w:vAlign w:val="top"/>
          </w:tcPr>
          <w:p>
            <w:pPr>
              <w:keepNext w:val="0"/>
              <w:keepLines w:val="0"/>
              <w:pageBreakBefore w:val="0"/>
              <w:widowControl w:val="0"/>
              <w:kinsoku/>
              <w:wordWrap/>
              <w:overflowPunct/>
              <w:topLinePunct w:val="0"/>
              <w:bidi w:val="0"/>
              <w:spacing w:line="540" w:lineRule="exact"/>
              <w:ind w:right="105" w:rightChars="50"/>
              <w:jc w:val="center"/>
              <w:textAlignment w:val="auto"/>
              <w:rPr>
                <w:rFonts w:hint="eastAsia" w:ascii="楷体" w:hAnsi="楷体" w:eastAsia="楷体" w:cs="楷体"/>
                <w:bCs/>
                <w:color w:val="000000" w:themeColor="text1"/>
                <w:sz w:val="28"/>
                <w:szCs w:val="28"/>
                <w:highlight w:val="none"/>
                <w:lang w:val="en-US" w:eastAsia="zh-CN"/>
                <w14:textFill>
                  <w14:solidFill>
                    <w14:schemeClr w14:val="tx1"/>
                  </w14:solidFill>
                </w14:textFill>
              </w:rPr>
            </w:pPr>
            <w:r>
              <w:rPr>
                <w:rFonts w:hint="eastAsia" w:ascii="楷体" w:hAnsi="楷体" w:eastAsia="楷体" w:cs="楷体"/>
                <w:bCs/>
                <w:color w:val="000000" w:themeColor="text1"/>
                <w:sz w:val="28"/>
                <w:szCs w:val="28"/>
                <w:highlight w:val="none"/>
                <w:lang w:val="en-US" w:eastAsia="zh-CN"/>
                <w14:textFill>
                  <w14:solidFill>
                    <w14:schemeClr w14:val="tx1"/>
                  </w14:solidFill>
                </w14:textFill>
              </w:rPr>
              <w:t>国家重点保护野生动植物物种保护率</w:t>
            </w:r>
            <w:r>
              <w:rPr>
                <w:rFonts w:hint="eastAsia" w:ascii="楷体" w:hAnsi="楷体" w:eastAsia="楷体" w:cs="楷体"/>
                <w:color w:val="000000" w:themeColor="text1"/>
                <w:sz w:val="28"/>
                <w:szCs w:val="28"/>
                <w:highlight w:val="none"/>
                <w:lang w:val="en-US" w:eastAsia="zh-CN"/>
                <w14:textFill>
                  <w14:solidFill>
                    <w14:schemeClr w14:val="tx1"/>
                  </w14:solidFill>
                </w14:textFill>
              </w:rPr>
              <w:t>（%）</w:t>
            </w:r>
          </w:p>
        </w:tc>
        <w:tc>
          <w:tcPr>
            <w:tcW w:w="119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楷体" w:hAnsi="楷体" w:eastAsia="楷体" w:cs="楷体"/>
                <w:bCs/>
                <w:color w:val="000000" w:themeColor="text1"/>
                <w:sz w:val="28"/>
                <w:szCs w:val="28"/>
                <w:highlight w:val="none"/>
                <w:lang w:val="en-US" w:eastAsia="zh-CN"/>
                <w14:textFill>
                  <w14:solidFill>
                    <w14:schemeClr w14:val="tx1"/>
                  </w14:solidFill>
                </w14:textFill>
              </w:rPr>
            </w:pPr>
            <w:r>
              <w:rPr>
                <w:rFonts w:hint="eastAsia" w:ascii="Times New Roman" w:hAnsi="方正仿宋_GBK" w:eastAsia="方正仿宋_GBK" w:cs="方正仿宋_GBK"/>
                <w:color w:val="000000" w:themeColor="text1"/>
                <w:kern w:val="2"/>
                <w:sz w:val="28"/>
                <w:szCs w:val="28"/>
                <w:highlight w:val="none"/>
                <w:lang w:val="en-US" w:eastAsia="zh-CN" w:bidi="ar"/>
                <w14:textFill>
                  <w14:solidFill>
                    <w14:schemeClr w14:val="tx1"/>
                  </w14:solidFill>
                </w14:textFill>
              </w:rPr>
              <w:t>100.00</w:t>
            </w:r>
          </w:p>
        </w:tc>
        <w:tc>
          <w:tcPr>
            <w:tcW w:w="1202"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highlight w:val="none"/>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highlight w:val="none"/>
                <w:lang w:val="en-US" w:eastAsia="zh-CN" w:bidi="ar"/>
                <w14:textFill>
                  <w14:solidFill>
                    <w14:schemeClr w14:val="tx1"/>
                  </w14:solidFill>
                </w14:textFill>
              </w:rPr>
              <w:t>100.00</w:t>
            </w:r>
          </w:p>
        </w:tc>
        <w:tc>
          <w:tcPr>
            <w:tcW w:w="1011" w:type="dxa"/>
            <w:vAlign w:val="top"/>
          </w:tcPr>
          <w:p>
            <w:pPr>
              <w:keepNext w:val="0"/>
              <w:keepLines w:val="0"/>
              <w:pageBreakBefore w:val="0"/>
              <w:widowControl w:val="0"/>
              <w:kinsoku/>
              <w:wordWrap/>
              <w:overflowPunct/>
              <w:topLinePunct w:val="0"/>
              <w:autoSpaceDE/>
              <w:autoSpaceDN/>
              <w:bidi w:val="0"/>
              <w:adjustRightInd/>
              <w:snapToGrid/>
              <w:spacing w:line="840" w:lineRule="auto"/>
              <w:ind w:right="105" w:rightChars="50"/>
              <w:jc w:val="center"/>
              <w:textAlignment w:val="auto"/>
              <w:rPr>
                <w:rFonts w:hint="eastAsia" w:ascii="楷体" w:hAnsi="楷体" w:eastAsia="楷体" w:cs="楷体"/>
                <w:bCs/>
                <w:color w:val="000000" w:themeColor="text1"/>
                <w:sz w:val="22"/>
                <w:szCs w:val="22"/>
                <w:lang w:val="en-US" w:eastAsia="zh-CN"/>
                <w14:textFill>
                  <w14:solidFill>
                    <w14:schemeClr w14:val="tx1"/>
                  </w14:solidFill>
                </w14:textFill>
              </w:rPr>
            </w:pPr>
            <w:r>
              <w:rPr>
                <w:rFonts w:hint="eastAsia" w:ascii="楷体" w:hAnsi="楷体" w:eastAsia="楷体" w:cs="楷体"/>
                <w:bCs/>
                <w:color w:val="000000" w:themeColor="text1"/>
                <w:sz w:val="22"/>
                <w:szCs w:val="22"/>
                <w:lang w:val="en-US" w:eastAsia="zh-CN"/>
                <w14:textFill>
                  <w14:solidFill>
                    <w14:schemeClr w14:val="tx1"/>
                  </w14:solidFill>
                </w14:textFill>
              </w:rPr>
              <w:t>预期性</w:t>
            </w:r>
          </w:p>
        </w:tc>
        <w:tc>
          <w:tcPr>
            <w:tcW w:w="1044" w:type="dxa"/>
            <w:vAlign w:val="top"/>
          </w:tcPr>
          <w:p>
            <w:pPr>
              <w:keepNext w:val="0"/>
              <w:keepLines w:val="0"/>
              <w:pageBreakBefore w:val="0"/>
              <w:widowControl w:val="0"/>
              <w:kinsoku/>
              <w:wordWrap/>
              <w:overflowPunct/>
              <w:topLinePunct w:val="0"/>
              <w:bidi w:val="0"/>
              <w:spacing w:line="540" w:lineRule="exact"/>
              <w:ind w:right="105" w:rightChars="50"/>
              <w:jc w:val="center"/>
              <w:textAlignment w:val="auto"/>
              <w:rPr>
                <w:rFonts w:hint="eastAsia" w:ascii="楷体" w:hAnsi="楷体" w:eastAsia="楷体" w:cs="楷体"/>
                <w:bCs/>
                <w:color w:val="000000" w:themeColor="text1"/>
                <w:sz w:val="28"/>
                <w:szCs w:val="28"/>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2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10</w:t>
            </w:r>
          </w:p>
        </w:tc>
        <w:tc>
          <w:tcPr>
            <w:tcW w:w="378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eastAsia" w:ascii="楷体" w:hAnsi="楷体" w:eastAsia="楷体" w:cs="楷体"/>
                <w:bCs/>
                <w:color w:val="000000" w:themeColor="text1"/>
                <w:sz w:val="28"/>
                <w:szCs w:val="28"/>
                <w:lang w:val="en-US" w:eastAsia="zh-CN"/>
                <w14:textFill>
                  <w14:solidFill>
                    <w14:schemeClr w14:val="tx1"/>
                  </w14:solidFill>
                </w14:textFill>
              </w:rPr>
            </w:pPr>
            <w:r>
              <w:rPr>
                <w:rFonts w:hint="eastAsia" w:ascii="楷体" w:hAnsi="楷体" w:eastAsia="楷体" w:cs="楷体"/>
                <w:bCs/>
                <w:color w:val="000000" w:themeColor="text1"/>
                <w:sz w:val="28"/>
                <w:szCs w:val="28"/>
                <w:lang w:val="en-US" w:eastAsia="zh-CN"/>
                <w14:textFill>
                  <w14:solidFill>
                    <w14:schemeClr w14:val="tx1"/>
                  </w14:solidFill>
                </w14:textFill>
              </w:rPr>
              <w:t>森林火灾受害率</w:t>
            </w:r>
            <w:r>
              <w:rPr>
                <w:rFonts w:hint="eastAsia" w:ascii="楷体" w:hAnsi="楷体" w:eastAsia="楷体" w:cs="楷体"/>
                <w:color w:val="000000" w:themeColor="text1"/>
                <w:sz w:val="28"/>
                <w:szCs w:val="28"/>
                <w:lang w:val="en-US" w:eastAsia="zh-CN"/>
                <w14:textFill>
                  <w14:solidFill>
                    <w14:schemeClr w14:val="tx1"/>
                  </w14:solidFill>
                </w14:textFill>
              </w:rPr>
              <w:t>(‰)</w:t>
            </w:r>
          </w:p>
        </w:tc>
        <w:tc>
          <w:tcPr>
            <w:tcW w:w="119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楷体" w:hAnsi="楷体" w:eastAsia="楷体" w:cs="楷体"/>
                <w:bCs/>
                <w:color w:val="000000" w:themeColor="text1"/>
                <w:sz w:val="28"/>
                <w:szCs w:val="28"/>
                <w:lang w:val="en-US" w:eastAsia="zh-CN"/>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1.00</w:t>
            </w:r>
          </w:p>
        </w:tc>
        <w:tc>
          <w:tcPr>
            <w:tcW w:w="1202"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1.00</w:t>
            </w:r>
          </w:p>
        </w:tc>
        <w:tc>
          <w:tcPr>
            <w:tcW w:w="1011" w:type="dxa"/>
            <w:vAlign w:val="top"/>
          </w:tcPr>
          <w:p>
            <w:pPr>
              <w:keepNext w:val="0"/>
              <w:keepLines w:val="0"/>
              <w:pageBreakBefore w:val="0"/>
              <w:widowControl w:val="0"/>
              <w:kinsoku/>
              <w:wordWrap/>
              <w:overflowPunct/>
              <w:topLinePunct w:val="0"/>
              <w:autoSpaceDE/>
              <w:autoSpaceDN/>
              <w:bidi w:val="0"/>
              <w:adjustRightInd/>
              <w:snapToGrid/>
              <w:spacing w:line="840" w:lineRule="auto"/>
              <w:ind w:right="105" w:rightChars="50"/>
              <w:jc w:val="center"/>
              <w:textAlignment w:val="auto"/>
              <w:rPr>
                <w:color w:val="000000" w:themeColor="text1"/>
                <w:sz w:val="16"/>
                <w:szCs w:val="20"/>
                <w14:textFill>
                  <w14:solidFill>
                    <w14:schemeClr w14:val="tx1"/>
                  </w14:solidFill>
                </w14:textFill>
              </w:rPr>
            </w:pPr>
            <w:r>
              <w:rPr>
                <w:rFonts w:hint="eastAsia" w:ascii="楷体" w:hAnsi="楷体" w:eastAsia="楷体" w:cs="楷体"/>
                <w:bCs/>
                <w:color w:val="000000" w:themeColor="text1"/>
                <w:sz w:val="22"/>
                <w:szCs w:val="22"/>
                <w:lang w:val="en-US" w:eastAsia="zh-CN"/>
                <w14:textFill>
                  <w14:solidFill>
                    <w14:schemeClr w14:val="tx1"/>
                  </w14:solidFill>
                </w14:textFill>
              </w:rPr>
              <w:t>预期性</w:t>
            </w:r>
          </w:p>
        </w:tc>
        <w:tc>
          <w:tcPr>
            <w:tcW w:w="1044" w:type="dxa"/>
            <w:vAlign w:val="top"/>
          </w:tcPr>
          <w:p>
            <w:pPr>
              <w:keepNext w:val="0"/>
              <w:keepLines w:val="0"/>
              <w:pageBreakBefore w:val="0"/>
              <w:widowControl w:val="0"/>
              <w:kinsoku/>
              <w:wordWrap/>
              <w:overflowPunct/>
              <w:topLinePunct w:val="0"/>
              <w:bidi w:val="0"/>
              <w:spacing w:line="540" w:lineRule="exact"/>
              <w:ind w:right="105" w:rightChars="50"/>
              <w:jc w:val="center"/>
              <w:textAlignment w:val="auto"/>
              <w:rPr>
                <w:rFonts w:hint="eastAsia" w:ascii="楷体" w:hAnsi="楷体" w:eastAsia="楷体" w:cs="楷体"/>
                <w:bCs/>
                <w:color w:val="000000" w:themeColor="text1"/>
                <w:sz w:val="28"/>
                <w:szCs w:val="28"/>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11</w:t>
            </w:r>
          </w:p>
        </w:tc>
        <w:tc>
          <w:tcPr>
            <w:tcW w:w="378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eastAsia" w:ascii="楷体" w:hAnsi="楷体" w:eastAsia="楷体" w:cs="楷体"/>
                <w:bCs/>
                <w:color w:val="000000" w:themeColor="text1"/>
                <w:sz w:val="28"/>
                <w:szCs w:val="28"/>
                <w:lang w:val="en-US" w:eastAsia="zh-CN"/>
                <w14:textFill>
                  <w14:solidFill>
                    <w14:schemeClr w14:val="tx1"/>
                  </w14:solidFill>
                </w14:textFill>
              </w:rPr>
            </w:pPr>
            <w:r>
              <w:rPr>
                <w:rFonts w:hint="eastAsia" w:ascii="楷体" w:hAnsi="楷体" w:eastAsia="楷体" w:cs="楷体"/>
                <w:bCs/>
                <w:color w:val="000000" w:themeColor="text1"/>
                <w:sz w:val="28"/>
                <w:szCs w:val="28"/>
                <w:lang w:val="en-US" w:eastAsia="zh-CN"/>
                <w14:textFill>
                  <w14:solidFill>
                    <w14:schemeClr w14:val="tx1"/>
                  </w14:solidFill>
                </w14:textFill>
              </w:rPr>
              <w:t>火灾查处率</w:t>
            </w:r>
            <w:r>
              <w:rPr>
                <w:rFonts w:hint="eastAsia" w:ascii="楷体" w:hAnsi="楷体" w:eastAsia="楷体" w:cs="楷体"/>
                <w:color w:val="000000" w:themeColor="text1"/>
                <w:sz w:val="28"/>
                <w:szCs w:val="28"/>
                <w:lang w:val="en-US" w:eastAsia="zh-CN"/>
                <w14:textFill>
                  <w14:solidFill>
                    <w14:schemeClr w14:val="tx1"/>
                  </w14:solidFill>
                </w14:textFill>
              </w:rPr>
              <w:t>（%）</w:t>
            </w:r>
          </w:p>
        </w:tc>
        <w:tc>
          <w:tcPr>
            <w:tcW w:w="119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楷体" w:hAnsi="楷体" w:eastAsia="楷体" w:cs="楷体"/>
                <w:bCs/>
                <w:color w:val="000000" w:themeColor="text1"/>
                <w:sz w:val="28"/>
                <w:szCs w:val="28"/>
                <w:lang w:val="en-US" w:eastAsia="zh-CN"/>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85.00</w:t>
            </w:r>
          </w:p>
        </w:tc>
        <w:tc>
          <w:tcPr>
            <w:tcW w:w="1202"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90.00</w:t>
            </w:r>
          </w:p>
        </w:tc>
        <w:tc>
          <w:tcPr>
            <w:tcW w:w="1011" w:type="dxa"/>
            <w:vAlign w:val="top"/>
          </w:tcPr>
          <w:p>
            <w:pPr>
              <w:keepNext w:val="0"/>
              <w:keepLines w:val="0"/>
              <w:pageBreakBefore w:val="0"/>
              <w:widowControl w:val="0"/>
              <w:kinsoku/>
              <w:wordWrap/>
              <w:overflowPunct/>
              <w:topLinePunct w:val="0"/>
              <w:autoSpaceDE/>
              <w:autoSpaceDN/>
              <w:bidi w:val="0"/>
              <w:adjustRightInd/>
              <w:snapToGrid/>
              <w:spacing w:line="840" w:lineRule="auto"/>
              <w:ind w:right="105" w:rightChars="50"/>
              <w:jc w:val="center"/>
              <w:textAlignment w:val="auto"/>
              <w:rPr>
                <w:rFonts w:hint="eastAsia" w:ascii="楷体" w:hAnsi="楷体" w:eastAsia="楷体" w:cs="楷体"/>
                <w:bCs/>
                <w:color w:val="000000" w:themeColor="text1"/>
                <w:sz w:val="22"/>
                <w:szCs w:val="22"/>
                <w:lang w:val="en-US" w:eastAsia="zh-CN"/>
                <w14:textFill>
                  <w14:solidFill>
                    <w14:schemeClr w14:val="tx1"/>
                  </w14:solidFill>
                </w14:textFill>
              </w:rPr>
            </w:pPr>
            <w:r>
              <w:rPr>
                <w:rFonts w:hint="eastAsia" w:ascii="楷体" w:hAnsi="楷体" w:eastAsia="楷体" w:cs="楷体"/>
                <w:bCs/>
                <w:color w:val="000000" w:themeColor="text1"/>
                <w:sz w:val="22"/>
                <w:szCs w:val="22"/>
                <w:lang w:val="en-US" w:eastAsia="zh-CN"/>
                <w14:textFill>
                  <w14:solidFill>
                    <w14:schemeClr w14:val="tx1"/>
                  </w14:solidFill>
                </w14:textFill>
              </w:rPr>
              <w:t>预期性</w:t>
            </w:r>
          </w:p>
        </w:tc>
        <w:tc>
          <w:tcPr>
            <w:tcW w:w="1044" w:type="dxa"/>
            <w:vAlign w:val="top"/>
          </w:tcPr>
          <w:p>
            <w:pPr>
              <w:keepNext w:val="0"/>
              <w:keepLines w:val="0"/>
              <w:pageBreakBefore w:val="0"/>
              <w:widowControl w:val="0"/>
              <w:kinsoku/>
              <w:wordWrap/>
              <w:overflowPunct/>
              <w:topLinePunct w:val="0"/>
              <w:bidi w:val="0"/>
              <w:spacing w:line="540" w:lineRule="exact"/>
              <w:ind w:right="105" w:rightChars="50"/>
              <w:jc w:val="center"/>
              <w:textAlignment w:val="auto"/>
              <w:rPr>
                <w:rFonts w:hint="eastAsia" w:ascii="楷体" w:hAnsi="楷体" w:eastAsia="楷体" w:cs="楷体"/>
                <w:bCs/>
                <w:color w:val="000000" w:themeColor="text1"/>
                <w:sz w:val="28"/>
                <w:szCs w:val="28"/>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12</w:t>
            </w:r>
          </w:p>
        </w:tc>
        <w:tc>
          <w:tcPr>
            <w:tcW w:w="378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eastAsia" w:ascii="楷体" w:hAnsi="楷体" w:eastAsia="楷体" w:cs="楷体"/>
                <w:bCs/>
                <w:color w:val="000000" w:themeColor="text1"/>
                <w:sz w:val="28"/>
                <w:szCs w:val="28"/>
                <w:lang w:val="en-US" w:eastAsia="zh-CN"/>
                <w14:textFill>
                  <w14:solidFill>
                    <w14:schemeClr w14:val="tx1"/>
                  </w14:solidFill>
                </w14:textFill>
              </w:rPr>
            </w:pPr>
            <w:r>
              <w:rPr>
                <w:rFonts w:hint="eastAsia" w:ascii="楷体" w:hAnsi="楷体" w:eastAsia="楷体" w:cs="楷体"/>
                <w:bCs/>
                <w:color w:val="000000" w:themeColor="text1"/>
                <w:sz w:val="28"/>
                <w:szCs w:val="28"/>
                <w:lang w:val="en-US" w:eastAsia="zh-CN"/>
                <w14:textFill>
                  <w14:solidFill>
                    <w14:schemeClr w14:val="tx1"/>
                  </w14:solidFill>
                </w14:textFill>
              </w:rPr>
              <w:t>森林火灾监控率</w:t>
            </w:r>
            <w:r>
              <w:rPr>
                <w:rFonts w:hint="eastAsia" w:ascii="楷体" w:hAnsi="楷体" w:eastAsia="楷体" w:cs="楷体"/>
                <w:color w:val="000000" w:themeColor="text1"/>
                <w:sz w:val="28"/>
                <w:szCs w:val="28"/>
                <w:lang w:val="en-US" w:eastAsia="zh-CN"/>
                <w14:textFill>
                  <w14:solidFill>
                    <w14:schemeClr w14:val="tx1"/>
                  </w14:solidFill>
                </w14:textFill>
              </w:rPr>
              <w:t>（%）</w:t>
            </w:r>
          </w:p>
        </w:tc>
        <w:tc>
          <w:tcPr>
            <w:tcW w:w="119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楷体" w:hAnsi="楷体" w:eastAsia="楷体" w:cs="楷体"/>
                <w:bCs/>
                <w:color w:val="000000" w:themeColor="text1"/>
                <w:sz w:val="28"/>
                <w:szCs w:val="28"/>
                <w:lang w:val="en-US" w:eastAsia="zh-CN"/>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85.00</w:t>
            </w:r>
          </w:p>
        </w:tc>
        <w:tc>
          <w:tcPr>
            <w:tcW w:w="1202"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90.00</w:t>
            </w:r>
          </w:p>
        </w:tc>
        <w:tc>
          <w:tcPr>
            <w:tcW w:w="1011" w:type="dxa"/>
            <w:vAlign w:val="top"/>
          </w:tcPr>
          <w:p>
            <w:pPr>
              <w:keepNext w:val="0"/>
              <w:keepLines w:val="0"/>
              <w:pageBreakBefore w:val="0"/>
              <w:widowControl w:val="0"/>
              <w:kinsoku/>
              <w:wordWrap/>
              <w:overflowPunct/>
              <w:topLinePunct w:val="0"/>
              <w:autoSpaceDE/>
              <w:autoSpaceDN/>
              <w:bidi w:val="0"/>
              <w:adjustRightInd/>
              <w:snapToGrid/>
              <w:spacing w:line="840" w:lineRule="auto"/>
              <w:ind w:right="105" w:rightChars="50"/>
              <w:jc w:val="center"/>
              <w:textAlignment w:val="auto"/>
              <w:rPr>
                <w:color w:val="000000" w:themeColor="text1"/>
                <w:sz w:val="16"/>
                <w:szCs w:val="20"/>
                <w14:textFill>
                  <w14:solidFill>
                    <w14:schemeClr w14:val="tx1"/>
                  </w14:solidFill>
                </w14:textFill>
              </w:rPr>
            </w:pPr>
            <w:r>
              <w:rPr>
                <w:rFonts w:hint="eastAsia" w:ascii="楷体" w:hAnsi="楷体" w:eastAsia="楷体" w:cs="楷体"/>
                <w:bCs/>
                <w:color w:val="000000" w:themeColor="text1"/>
                <w:sz w:val="22"/>
                <w:szCs w:val="22"/>
                <w:lang w:val="en-US" w:eastAsia="zh-CN"/>
                <w14:textFill>
                  <w14:solidFill>
                    <w14:schemeClr w14:val="tx1"/>
                  </w14:solidFill>
                </w14:textFill>
              </w:rPr>
              <w:t>预期性</w:t>
            </w:r>
          </w:p>
        </w:tc>
        <w:tc>
          <w:tcPr>
            <w:tcW w:w="1044" w:type="dxa"/>
            <w:vAlign w:val="top"/>
          </w:tcPr>
          <w:p>
            <w:pPr>
              <w:keepNext w:val="0"/>
              <w:keepLines w:val="0"/>
              <w:pageBreakBefore w:val="0"/>
              <w:widowControl w:val="0"/>
              <w:kinsoku/>
              <w:wordWrap/>
              <w:overflowPunct/>
              <w:topLinePunct w:val="0"/>
              <w:bidi w:val="0"/>
              <w:spacing w:line="540" w:lineRule="exact"/>
              <w:ind w:right="105" w:rightChars="50"/>
              <w:jc w:val="center"/>
              <w:textAlignment w:val="auto"/>
              <w:rPr>
                <w:rFonts w:hint="eastAsia" w:ascii="楷体" w:hAnsi="楷体" w:eastAsia="楷体" w:cs="楷体"/>
                <w:bCs/>
                <w:color w:val="000000" w:themeColor="text1"/>
                <w:sz w:val="28"/>
                <w:szCs w:val="28"/>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13</w:t>
            </w:r>
          </w:p>
        </w:tc>
        <w:tc>
          <w:tcPr>
            <w:tcW w:w="3788" w:type="dxa"/>
            <w:vAlign w:val="top"/>
          </w:tcPr>
          <w:p>
            <w:pPr>
              <w:keepNext w:val="0"/>
              <w:keepLines w:val="0"/>
              <w:pageBreakBefore w:val="0"/>
              <w:widowControl w:val="0"/>
              <w:kinsoku/>
              <w:wordWrap/>
              <w:overflowPunct/>
              <w:topLinePunct w:val="0"/>
              <w:bidi w:val="0"/>
              <w:spacing w:line="600" w:lineRule="auto"/>
              <w:ind w:right="105" w:rightChars="50"/>
              <w:jc w:val="center"/>
              <w:textAlignment w:val="auto"/>
              <w:rPr>
                <w:rFonts w:hint="eastAsia" w:ascii="楷体" w:hAnsi="楷体" w:eastAsia="楷体" w:cs="楷体"/>
                <w:bCs/>
                <w:color w:val="000000" w:themeColor="text1"/>
                <w:sz w:val="28"/>
                <w:szCs w:val="28"/>
                <w:lang w:val="en-US" w:eastAsia="zh-CN"/>
                <w14:textFill>
                  <w14:solidFill>
                    <w14:schemeClr w14:val="tx1"/>
                  </w14:solidFill>
                </w14:textFill>
              </w:rPr>
            </w:pPr>
            <w:r>
              <w:rPr>
                <w:rFonts w:hint="eastAsia" w:ascii="楷体" w:hAnsi="楷体" w:eastAsia="楷体" w:cs="楷体"/>
                <w:bCs/>
                <w:color w:val="000000" w:themeColor="text1"/>
                <w:sz w:val="28"/>
                <w:szCs w:val="28"/>
                <w:lang w:val="en-US" w:eastAsia="zh-CN"/>
                <w14:textFill>
                  <w14:solidFill>
                    <w14:schemeClr w14:val="tx1"/>
                  </w14:solidFill>
                </w14:textFill>
              </w:rPr>
              <w:t>林业有害生物成灾率</w:t>
            </w:r>
            <w:r>
              <w:rPr>
                <w:rFonts w:hint="eastAsia" w:ascii="楷体" w:hAnsi="楷体" w:eastAsia="楷体" w:cs="楷体"/>
                <w:color w:val="000000" w:themeColor="text1"/>
                <w:sz w:val="28"/>
                <w:szCs w:val="28"/>
                <w:lang w:val="en-US" w:eastAsia="zh-CN"/>
                <w14:textFill>
                  <w14:solidFill>
                    <w14:schemeClr w14:val="tx1"/>
                  </w14:solidFill>
                </w14:textFill>
              </w:rPr>
              <w:t>(‰)</w:t>
            </w:r>
          </w:p>
        </w:tc>
        <w:tc>
          <w:tcPr>
            <w:tcW w:w="119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eastAsia" w:ascii="楷体" w:hAnsi="楷体" w:eastAsia="楷体" w:cs="楷体"/>
                <w:bCs/>
                <w:color w:val="000000" w:themeColor="text1"/>
                <w:sz w:val="28"/>
                <w:szCs w:val="28"/>
                <w:lang w:val="en-US" w:eastAsia="zh-CN"/>
                <w14:textFill>
                  <w14:solidFill>
                    <w14:schemeClr w14:val="tx1"/>
                  </w14:solidFill>
                </w14:textFill>
              </w:rPr>
            </w:pPr>
            <w:r>
              <w:rPr>
                <w:rFonts w:hint="eastAsia" w:ascii="Times New Roman" w:hAnsi="方正仿宋_GBK" w:eastAsia="方正仿宋_GBK" w:cs="方正仿宋_GBK"/>
                <w:color w:val="000000" w:themeColor="text1"/>
                <w:sz w:val="28"/>
                <w:szCs w:val="28"/>
                <w:lang w:val="en-US" w:eastAsia="zh-CN" w:bidi="ar"/>
                <w14:textFill>
                  <w14:solidFill>
                    <w14:schemeClr w14:val="tx1"/>
                  </w14:solidFill>
                </w14:textFill>
              </w:rPr>
              <w:t>2.23</w:t>
            </w:r>
          </w:p>
        </w:tc>
        <w:tc>
          <w:tcPr>
            <w:tcW w:w="1202"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4.00</w:t>
            </w:r>
          </w:p>
        </w:tc>
        <w:tc>
          <w:tcPr>
            <w:tcW w:w="1011" w:type="dxa"/>
            <w:vAlign w:val="top"/>
          </w:tcPr>
          <w:p>
            <w:pPr>
              <w:keepNext w:val="0"/>
              <w:keepLines w:val="0"/>
              <w:pageBreakBefore w:val="0"/>
              <w:widowControl w:val="0"/>
              <w:kinsoku/>
              <w:wordWrap/>
              <w:overflowPunct/>
              <w:topLinePunct w:val="0"/>
              <w:autoSpaceDE/>
              <w:autoSpaceDN/>
              <w:bidi w:val="0"/>
              <w:adjustRightInd/>
              <w:snapToGrid/>
              <w:spacing w:line="840" w:lineRule="auto"/>
              <w:ind w:right="105" w:rightChars="50"/>
              <w:jc w:val="center"/>
              <w:textAlignment w:val="auto"/>
              <w:rPr>
                <w:color w:val="000000" w:themeColor="text1"/>
                <w:sz w:val="16"/>
                <w:szCs w:val="20"/>
                <w14:textFill>
                  <w14:solidFill>
                    <w14:schemeClr w14:val="tx1"/>
                  </w14:solidFill>
                </w14:textFill>
              </w:rPr>
            </w:pPr>
            <w:r>
              <w:rPr>
                <w:rFonts w:hint="eastAsia" w:ascii="楷体" w:hAnsi="楷体" w:eastAsia="楷体" w:cs="楷体"/>
                <w:bCs/>
                <w:color w:val="000000" w:themeColor="text1"/>
                <w:sz w:val="22"/>
                <w:szCs w:val="22"/>
                <w:lang w:eastAsia="zh-CN"/>
                <w14:textFill>
                  <w14:solidFill>
                    <w14:schemeClr w14:val="tx1"/>
                  </w14:solidFill>
                </w14:textFill>
              </w:rPr>
              <w:t>约束性</w:t>
            </w:r>
          </w:p>
        </w:tc>
        <w:tc>
          <w:tcPr>
            <w:tcW w:w="1044" w:type="dxa"/>
            <w:vAlign w:val="top"/>
          </w:tcPr>
          <w:p>
            <w:pPr>
              <w:keepNext w:val="0"/>
              <w:keepLines w:val="0"/>
              <w:pageBreakBefore w:val="0"/>
              <w:widowControl w:val="0"/>
              <w:kinsoku/>
              <w:wordWrap/>
              <w:overflowPunct/>
              <w:topLinePunct w:val="0"/>
              <w:bidi w:val="0"/>
              <w:spacing w:line="540" w:lineRule="exact"/>
              <w:ind w:right="105" w:rightChars="50"/>
              <w:jc w:val="center"/>
              <w:textAlignment w:val="auto"/>
              <w:rPr>
                <w:rFonts w:hint="eastAsia" w:ascii="楷体" w:hAnsi="楷体" w:eastAsia="楷体" w:cs="楷体"/>
                <w:bCs/>
                <w:color w:val="000000" w:themeColor="text1"/>
                <w:sz w:val="28"/>
                <w:szCs w:val="28"/>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14</w:t>
            </w:r>
          </w:p>
        </w:tc>
        <w:tc>
          <w:tcPr>
            <w:tcW w:w="3788" w:type="dxa"/>
            <w:vAlign w:val="top"/>
          </w:tcPr>
          <w:p>
            <w:pPr>
              <w:keepNext w:val="0"/>
              <w:keepLines w:val="0"/>
              <w:pageBreakBefore w:val="0"/>
              <w:widowControl w:val="0"/>
              <w:kinsoku/>
              <w:wordWrap/>
              <w:overflowPunct/>
              <w:topLinePunct w:val="0"/>
              <w:bidi w:val="0"/>
              <w:spacing w:line="540" w:lineRule="exact"/>
              <w:ind w:right="105" w:rightChars="50"/>
              <w:jc w:val="center"/>
              <w:textAlignment w:val="auto"/>
              <w:rPr>
                <w:rFonts w:hint="eastAsia" w:ascii="楷体" w:hAnsi="楷体" w:eastAsia="楷体" w:cs="楷体"/>
                <w:bCs/>
                <w:color w:val="000000" w:themeColor="text1"/>
                <w:sz w:val="28"/>
                <w:szCs w:val="28"/>
                <w:lang w:val="en-US" w:eastAsia="zh-CN"/>
                <w14:textFill>
                  <w14:solidFill>
                    <w14:schemeClr w14:val="tx1"/>
                  </w14:solidFill>
                </w14:textFill>
              </w:rPr>
            </w:pPr>
            <w:r>
              <w:rPr>
                <w:rFonts w:hint="eastAsia" w:ascii="楷体" w:hAnsi="楷体" w:eastAsia="楷体" w:cs="楷体"/>
                <w:bCs/>
                <w:color w:val="000000" w:themeColor="text1"/>
                <w:sz w:val="24"/>
                <w:szCs w:val="24"/>
                <w:lang w:val="en-US" w:eastAsia="zh-CN"/>
                <w14:textFill>
                  <w14:solidFill>
                    <w14:schemeClr w14:val="tx1"/>
                  </w14:solidFill>
                </w14:textFill>
              </w:rPr>
              <w:t>林草有害生物无公害防治率</w:t>
            </w:r>
            <w:r>
              <w:rPr>
                <w:rFonts w:hint="eastAsia" w:ascii="楷体" w:hAnsi="楷体" w:eastAsia="楷体" w:cs="楷体"/>
                <w:color w:val="000000" w:themeColor="text1"/>
                <w:sz w:val="24"/>
                <w:szCs w:val="24"/>
                <w:lang w:val="en-US" w:eastAsia="zh-CN"/>
                <w14:textFill>
                  <w14:solidFill>
                    <w14:schemeClr w14:val="tx1"/>
                  </w14:solidFill>
                </w14:textFill>
              </w:rPr>
              <w:t>（%）</w:t>
            </w:r>
          </w:p>
        </w:tc>
        <w:tc>
          <w:tcPr>
            <w:tcW w:w="119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eastAsia" w:ascii="楷体" w:hAnsi="楷体" w:eastAsia="楷体" w:cs="楷体"/>
                <w:bCs/>
                <w:color w:val="000000" w:themeColor="text1"/>
                <w:sz w:val="24"/>
                <w:szCs w:val="24"/>
                <w:lang w:val="en-US" w:eastAsia="zh-CN"/>
                <w14:textFill>
                  <w14:solidFill>
                    <w14:schemeClr w14:val="tx1"/>
                  </w14:solidFill>
                </w14:textFill>
              </w:rPr>
            </w:pPr>
            <w:r>
              <w:rPr>
                <w:rFonts w:hint="eastAsia" w:ascii="Times New Roman" w:hAnsi="方正仿宋_GBK" w:eastAsia="方正仿宋_GBK" w:cs="方正仿宋_GBK"/>
                <w:color w:val="000000" w:themeColor="text1"/>
                <w:sz w:val="28"/>
                <w:szCs w:val="28"/>
                <w:lang w:eastAsia="zh-CN" w:bidi="ar"/>
                <w14:textFill>
                  <w14:solidFill>
                    <w14:schemeClr w14:val="tx1"/>
                  </w14:solidFill>
                </w14:textFill>
              </w:rPr>
              <w:t>9</w:t>
            </w:r>
            <w:r>
              <w:rPr>
                <w:rFonts w:hint="eastAsia" w:ascii="Times New Roman" w:hAnsi="方正仿宋_GBK" w:eastAsia="方正仿宋_GBK" w:cs="方正仿宋_GBK"/>
                <w:color w:val="000000" w:themeColor="text1"/>
                <w:sz w:val="28"/>
                <w:szCs w:val="28"/>
                <w:lang w:val="en-US" w:eastAsia="zh-CN" w:bidi="ar"/>
                <w14:textFill>
                  <w14:solidFill>
                    <w14:schemeClr w14:val="tx1"/>
                  </w14:solidFill>
                </w14:textFill>
              </w:rPr>
              <w:t>5.66</w:t>
            </w:r>
          </w:p>
        </w:tc>
        <w:tc>
          <w:tcPr>
            <w:tcW w:w="1202"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85.00</w:t>
            </w:r>
          </w:p>
        </w:tc>
        <w:tc>
          <w:tcPr>
            <w:tcW w:w="1011" w:type="dxa"/>
            <w:vAlign w:val="top"/>
          </w:tcPr>
          <w:p>
            <w:pPr>
              <w:keepNext w:val="0"/>
              <w:keepLines w:val="0"/>
              <w:pageBreakBefore w:val="0"/>
              <w:widowControl w:val="0"/>
              <w:kinsoku/>
              <w:wordWrap/>
              <w:overflowPunct/>
              <w:topLinePunct w:val="0"/>
              <w:autoSpaceDE/>
              <w:autoSpaceDN/>
              <w:bidi w:val="0"/>
              <w:adjustRightInd/>
              <w:snapToGrid/>
              <w:spacing w:line="840" w:lineRule="auto"/>
              <w:ind w:right="105" w:rightChars="50"/>
              <w:jc w:val="center"/>
              <w:textAlignment w:val="auto"/>
              <w:rPr>
                <w:color w:val="000000" w:themeColor="text1"/>
                <w:sz w:val="16"/>
                <w:szCs w:val="20"/>
                <w14:textFill>
                  <w14:solidFill>
                    <w14:schemeClr w14:val="tx1"/>
                  </w14:solidFill>
                </w14:textFill>
              </w:rPr>
            </w:pPr>
            <w:r>
              <w:rPr>
                <w:rFonts w:hint="eastAsia" w:ascii="楷体" w:hAnsi="楷体" w:eastAsia="楷体" w:cs="楷体"/>
                <w:bCs/>
                <w:color w:val="000000" w:themeColor="text1"/>
                <w:sz w:val="22"/>
                <w:szCs w:val="22"/>
                <w:lang w:eastAsia="zh-CN"/>
                <w14:textFill>
                  <w14:solidFill>
                    <w14:schemeClr w14:val="tx1"/>
                  </w14:solidFill>
                </w14:textFill>
              </w:rPr>
              <w:t>约束性</w:t>
            </w:r>
          </w:p>
        </w:tc>
        <w:tc>
          <w:tcPr>
            <w:tcW w:w="1044" w:type="dxa"/>
            <w:vAlign w:val="top"/>
          </w:tcPr>
          <w:p>
            <w:pPr>
              <w:keepNext w:val="0"/>
              <w:keepLines w:val="0"/>
              <w:pageBreakBefore w:val="0"/>
              <w:widowControl w:val="0"/>
              <w:kinsoku/>
              <w:wordWrap/>
              <w:overflowPunct/>
              <w:topLinePunct w:val="0"/>
              <w:bidi w:val="0"/>
              <w:spacing w:line="540" w:lineRule="exact"/>
              <w:ind w:right="105" w:rightChars="50"/>
              <w:jc w:val="center"/>
              <w:textAlignment w:val="auto"/>
              <w:rPr>
                <w:rFonts w:hint="eastAsia" w:ascii="楷体" w:hAnsi="楷体" w:eastAsia="楷体" w:cs="楷体"/>
                <w:bCs/>
                <w:color w:val="000000" w:themeColor="text1"/>
                <w:sz w:val="28"/>
                <w:szCs w:val="28"/>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15</w:t>
            </w:r>
          </w:p>
        </w:tc>
        <w:tc>
          <w:tcPr>
            <w:tcW w:w="3788" w:type="dxa"/>
            <w:vAlign w:val="top"/>
          </w:tcPr>
          <w:p>
            <w:pPr>
              <w:keepNext w:val="0"/>
              <w:keepLines w:val="0"/>
              <w:pageBreakBefore w:val="0"/>
              <w:widowControl w:val="0"/>
              <w:kinsoku/>
              <w:wordWrap/>
              <w:overflowPunct/>
              <w:topLinePunct w:val="0"/>
              <w:bidi w:val="0"/>
              <w:spacing w:line="540" w:lineRule="exact"/>
              <w:ind w:right="105" w:rightChars="50"/>
              <w:jc w:val="center"/>
              <w:textAlignment w:val="auto"/>
              <w:rPr>
                <w:rFonts w:hint="eastAsia" w:ascii="楷体" w:hAnsi="楷体" w:eastAsia="楷体" w:cs="楷体"/>
                <w:bCs/>
                <w:color w:val="000000" w:themeColor="text1"/>
                <w:sz w:val="28"/>
                <w:szCs w:val="28"/>
                <w:lang w:val="en-US" w:eastAsia="zh-CN"/>
                <w14:textFill>
                  <w14:solidFill>
                    <w14:schemeClr w14:val="tx1"/>
                  </w14:solidFill>
                </w14:textFill>
              </w:rPr>
            </w:pPr>
            <w:r>
              <w:rPr>
                <w:rFonts w:hint="eastAsia" w:ascii="楷体" w:hAnsi="楷体" w:eastAsia="楷体" w:cs="楷体"/>
                <w:bCs/>
                <w:color w:val="000000" w:themeColor="text1"/>
                <w:sz w:val="28"/>
                <w:szCs w:val="28"/>
                <w:lang w:val="en-US" w:eastAsia="zh-CN"/>
                <w14:textFill>
                  <w14:solidFill>
                    <w14:schemeClr w14:val="tx1"/>
                  </w14:solidFill>
                </w14:textFill>
              </w:rPr>
              <w:t>林木种苗产地检疫率</w:t>
            </w:r>
            <w:r>
              <w:rPr>
                <w:rFonts w:hint="eastAsia" w:ascii="楷体" w:hAnsi="楷体" w:eastAsia="楷体" w:cs="楷体"/>
                <w:color w:val="000000" w:themeColor="text1"/>
                <w:sz w:val="28"/>
                <w:szCs w:val="28"/>
                <w:lang w:val="en-US" w:eastAsia="zh-CN"/>
                <w14:textFill>
                  <w14:solidFill>
                    <w14:schemeClr w14:val="tx1"/>
                  </w14:solidFill>
                </w14:textFill>
              </w:rPr>
              <w:t>（%）</w:t>
            </w:r>
          </w:p>
        </w:tc>
        <w:tc>
          <w:tcPr>
            <w:tcW w:w="119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楷体" w:hAnsi="楷体" w:eastAsia="楷体" w:cs="楷体"/>
                <w:bCs/>
                <w:color w:val="000000" w:themeColor="text1"/>
                <w:sz w:val="28"/>
                <w:szCs w:val="28"/>
                <w:lang w:val="en-US" w:eastAsia="zh-CN"/>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100.00</w:t>
            </w:r>
          </w:p>
        </w:tc>
        <w:tc>
          <w:tcPr>
            <w:tcW w:w="1202"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100.00</w:t>
            </w:r>
          </w:p>
        </w:tc>
        <w:tc>
          <w:tcPr>
            <w:tcW w:w="1011" w:type="dxa"/>
            <w:vAlign w:val="top"/>
          </w:tcPr>
          <w:p>
            <w:pPr>
              <w:keepNext w:val="0"/>
              <w:keepLines w:val="0"/>
              <w:pageBreakBefore w:val="0"/>
              <w:widowControl w:val="0"/>
              <w:kinsoku/>
              <w:wordWrap/>
              <w:overflowPunct/>
              <w:topLinePunct w:val="0"/>
              <w:autoSpaceDE/>
              <w:autoSpaceDN/>
              <w:bidi w:val="0"/>
              <w:adjustRightInd/>
              <w:snapToGrid/>
              <w:spacing w:line="840" w:lineRule="auto"/>
              <w:ind w:right="105" w:rightChars="50"/>
              <w:jc w:val="center"/>
              <w:textAlignment w:val="auto"/>
              <w:rPr>
                <w:color w:val="000000" w:themeColor="text1"/>
                <w:sz w:val="16"/>
                <w:szCs w:val="20"/>
                <w14:textFill>
                  <w14:solidFill>
                    <w14:schemeClr w14:val="tx1"/>
                  </w14:solidFill>
                </w14:textFill>
              </w:rPr>
            </w:pPr>
            <w:r>
              <w:rPr>
                <w:rFonts w:hint="eastAsia" w:ascii="楷体" w:hAnsi="楷体" w:eastAsia="楷体" w:cs="楷体"/>
                <w:bCs/>
                <w:color w:val="000000" w:themeColor="text1"/>
                <w:sz w:val="22"/>
                <w:szCs w:val="22"/>
                <w:lang w:eastAsia="zh-CN"/>
                <w14:textFill>
                  <w14:solidFill>
                    <w14:schemeClr w14:val="tx1"/>
                  </w14:solidFill>
                </w14:textFill>
              </w:rPr>
              <w:t>约束性</w:t>
            </w:r>
          </w:p>
        </w:tc>
        <w:tc>
          <w:tcPr>
            <w:tcW w:w="1044" w:type="dxa"/>
            <w:vAlign w:val="top"/>
          </w:tcPr>
          <w:p>
            <w:pPr>
              <w:keepNext w:val="0"/>
              <w:keepLines w:val="0"/>
              <w:pageBreakBefore w:val="0"/>
              <w:widowControl w:val="0"/>
              <w:kinsoku/>
              <w:wordWrap/>
              <w:overflowPunct/>
              <w:topLinePunct w:val="0"/>
              <w:bidi w:val="0"/>
              <w:spacing w:line="540" w:lineRule="exact"/>
              <w:ind w:right="105" w:rightChars="50"/>
              <w:jc w:val="center"/>
              <w:textAlignment w:val="auto"/>
              <w:rPr>
                <w:rFonts w:hint="eastAsia" w:ascii="楷体" w:hAnsi="楷体" w:eastAsia="楷体" w:cs="楷体"/>
                <w:bCs/>
                <w:color w:val="000000" w:themeColor="text1"/>
                <w:sz w:val="28"/>
                <w:szCs w:val="28"/>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16</w:t>
            </w:r>
          </w:p>
        </w:tc>
        <w:tc>
          <w:tcPr>
            <w:tcW w:w="3788" w:type="dxa"/>
            <w:vAlign w:val="top"/>
          </w:tcPr>
          <w:p>
            <w:pPr>
              <w:keepNext w:val="0"/>
              <w:keepLines w:val="0"/>
              <w:pageBreakBefore w:val="0"/>
              <w:widowControl w:val="0"/>
              <w:kinsoku/>
              <w:wordWrap/>
              <w:overflowPunct/>
              <w:topLinePunct w:val="0"/>
              <w:autoSpaceDE/>
              <w:autoSpaceDN/>
              <w:bidi w:val="0"/>
              <w:adjustRightInd/>
              <w:snapToGrid/>
              <w:spacing w:line="720" w:lineRule="auto"/>
              <w:ind w:right="105" w:rightChars="50"/>
              <w:jc w:val="center"/>
              <w:textAlignment w:val="auto"/>
              <w:rPr>
                <w:rFonts w:hint="eastAsia" w:ascii="楷体" w:hAnsi="楷体" w:eastAsia="楷体" w:cs="楷体"/>
                <w:bCs/>
                <w:color w:val="000000" w:themeColor="text1"/>
                <w:sz w:val="28"/>
                <w:szCs w:val="28"/>
                <w:highlight w:val="none"/>
                <w:lang w:val="en-US" w:eastAsia="zh-CN"/>
                <w14:textFill>
                  <w14:solidFill>
                    <w14:schemeClr w14:val="tx1"/>
                  </w14:solidFill>
                </w14:textFill>
              </w:rPr>
            </w:pPr>
            <w:r>
              <w:rPr>
                <w:rFonts w:hint="eastAsia" w:ascii="楷体" w:hAnsi="楷体" w:eastAsia="楷体" w:cs="楷体"/>
                <w:bCs/>
                <w:color w:val="000000" w:themeColor="text1"/>
                <w:sz w:val="28"/>
                <w:szCs w:val="28"/>
                <w:highlight w:val="none"/>
                <w:lang w:val="en-US" w:eastAsia="zh-CN"/>
                <w14:textFill>
                  <w14:solidFill>
                    <w14:schemeClr w14:val="tx1"/>
                  </w14:solidFill>
                </w14:textFill>
              </w:rPr>
              <w:t>农民人均林业收入（元）</w:t>
            </w:r>
          </w:p>
        </w:tc>
        <w:tc>
          <w:tcPr>
            <w:tcW w:w="1198" w:type="dxa"/>
            <w:vAlign w:val="top"/>
          </w:tcPr>
          <w:p>
            <w:pPr>
              <w:keepNext w:val="0"/>
              <w:keepLines w:val="0"/>
              <w:pageBreakBefore w:val="0"/>
              <w:widowControl w:val="0"/>
              <w:kinsoku/>
              <w:wordWrap/>
              <w:overflowPunct/>
              <w:topLinePunct w:val="0"/>
              <w:autoSpaceDE/>
              <w:autoSpaceDN/>
              <w:bidi w:val="0"/>
              <w:adjustRightInd/>
              <w:snapToGrid/>
              <w:spacing w:line="720" w:lineRule="auto"/>
              <w:ind w:right="105" w:rightChars="50"/>
              <w:jc w:val="center"/>
              <w:textAlignment w:val="auto"/>
              <w:rPr>
                <w:rFonts w:hint="default" w:ascii="楷体" w:hAnsi="楷体" w:eastAsia="楷体" w:cs="楷体"/>
                <w:bCs/>
                <w:color w:val="000000" w:themeColor="text1"/>
                <w:sz w:val="28"/>
                <w:szCs w:val="28"/>
                <w:highlight w:val="none"/>
                <w:lang w:val="en-US" w:eastAsia="zh-CN"/>
                <w14:textFill>
                  <w14:solidFill>
                    <w14:schemeClr w14:val="tx1"/>
                  </w14:solidFill>
                </w14:textFill>
              </w:rPr>
            </w:pPr>
            <w:r>
              <w:rPr>
                <w:rFonts w:hint="eastAsia" w:ascii="Times New Roman" w:hAnsi="方正仿宋_GBK" w:eastAsia="方正仿宋_GBK" w:cs="方正仿宋_GBK"/>
                <w:color w:val="000000" w:themeColor="text1"/>
                <w:kern w:val="2"/>
                <w:sz w:val="24"/>
                <w:szCs w:val="24"/>
                <w:highlight w:val="none"/>
                <w:lang w:val="en-US" w:eastAsia="zh-CN" w:bidi="ar"/>
                <w14:textFill>
                  <w14:solidFill>
                    <w14:schemeClr w14:val="tx1"/>
                  </w14:solidFill>
                </w14:textFill>
              </w:rPr>
              <w:t>733.00</w:t>
            </w:r>
          </w:p>
        </w:tc>
        <w:tc>
          <w:tcPr>
            <w:tcW w:w="1202" w:type="dxa"/>
            <w:vAlign w:val="top"/>
          </w:tcPr>
          <w:p>
            <w:pPr>
              <w:keepNext w:val="0"/>
              <w:keepLines w:val="0"/>
              <w:pageBreakBefore w:val="0"/>
              <w:widowControl w:val="0"/>
              <w:kinsoku/>
              <w:wordWrap/>
              <w:overflowPunct/>
              <w:topLinePunct w:val="0"/>
              <w:autoSpaceDE/>
              <w:autoSpaceDN/>
              <w:bidi w:val="0"/>
              <w:adjustRightInd/>
              <w:snapToGrid/>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highlight w:val="none"/>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4"/>
                <w:szCs w:val="24"/>
                <w:highlight w:val="none"/>
                <w:lang w:val="en-US" w:eastAsia="zh-CN" w:bidi="ar"/>
                <w14:textFill>
                  <w14:solidFill>
                    <w14:schemeClr w14:val="tx1"/>
                  </w14:solidFill>
                </w14:textFill>
              </w:rPr>
              <w:t>900.00</w:t>
            </w:r>
          </w:p>
        </w:tc>
        <w:tc>
          <w:tcPr>
            <w:tcW w:w="1011" w:type="dxa"/>
            <w:vAlign w:val="top"/>
          </w:tcPr>
          <w:p>
            <w:pPr>
              <w:keepNext w:val="0"/>
              <w:keepLines w:val="0"/>
              <w:pageBreakBefore w:val="0"/>
              <w:widowControl w:val="0"/>
              <w:kinsoku/>
              <w:wordWrap/>
              <w:overflowPunct/>
              <w:topLinePunct w:val="0"/>
              <w:autoSpaceDE/>
              <w:autoSpaceDN/>
              <w:bidi w:val="0"/>
              <w:adjustRightInd/>
              <w:snapToGrid/>
              <w:spacing w:line="840" w:lineRule="auto"/>
              <w:ind w:right="105" w:rightChars="50"/>
              <w:jc w:val="center"/>
              <w:textAlignment w:val="auto"/>
              <w:rPr>
                <w:rFonts w:hint="eastAsia" w:ascii="楷体" w:hAnsi="楷体" w:eastAsia="楷体" w:cs="楷体"/>
                <w:bCs/>
                <w:color w:val="000000" w:themeColor="text1"/>
                <w:sz w:val="22"/>
                <w:szCs w:val="22"/>
                <w:highlight w:val="none"/>
                <w:lang w:val="en-US" w:eastAsia="zh-CN"/>
                <w14:textFill>
                  <w14:solidFill>
                    <w14:schemeClr w14:val="tx1"/>
                  </w14:solidFill>
                </w14:textFill>
              </w:rPr>
            </w:pPr>
            <w:r>
              <w:rPr>
                <w:rFonts w:hint="eastAsia" w:ascii="楷体" w:hAnsi="楷体" w:eastAsia="楷体" w:cs="楷体"/>
                <w:bCs/>
                <w:color w:val="000000" w:themeColor="text1"/>
                <w:sz w:val="22"/>
                <w:szCs w:val="22"/>
                <w:highlight w:val="none"/>
                <w:lang w:val="en-US" w:eastAsia="zh-CN"/>
                <w14:textFill>
                  <w14:solidFill>
                    <w14:schemeClr w14:val="tx1"/>
                  </w14:solidFill>
                </w14:textFill>
              </w:rPr>
              <w:t>预期性</w:t>
            </w:r>
          </w:p>
        </w:tc>
        <w:tc>
          <w:tcPr>
            <w:tcW w:w="1044" w:type="dxa"/>
            <w:vAlign w:val="top"/>
          </w:tcPr>
          <w:p>
            <w:pPr>
              <w:keepNext w:val="0"/>
              <w:keepLines w:val="0"/>
              <w:pageBreakBefore w:val="0"/>
              <w:widowControl w:val="0"/>
              <w:kinsoku/>
              <w:wordWrap/>
              <w:overflowPunct/>
              <w:topLinePunct w:val="0"/>
              <w:bidi w:val="0"/>
              <w:spacing w:line="540" w:lineRule="exact"/>
              <w:ind w:right="105" w:rightChars="50"/>
              <w:jc w:val="center"/>
              <w:textAlignment w:val="auto"/>
              <w:rPr>
                <w:rFonts w:hint="eastAsia" w:ascii="楷体" w:hAnsi="楷体" w:eastAsia="楷体" w:cs="楷体"/>
                <w:bCs/>
                <w:color w:val="000000" w:themeColor="text1"/>
                <w:sz w:val="28"/>
                <w:szCs w:val="28"/>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17</w:t>
            </w:r>
          </w:p>
        </w:tc>
        <w:tc>
          <w:tcPr>
            <w:tcW w:w="378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eastAsia" w:ascii="楷体" w:hAnsi="楷体" w:eastAsia="楷体" w:cs="楷体"/>
                <w:bCs/>
                <w:color w:val="000000" w:themeColor="text1"/>
                <w:sz w:val="28"/>
                <w:szCs w:val="28"/>
                <w:lang w:val="en-US" w:eastAsia="zh-CN"/>
                <w14:textFill>
                  <w14:solidFill>
                    <w14:schemeClr w14:val="tx1"/>
                  </w14:solidFill>
                </w14:textFill>
              </w:rPr>
            </w:pPr>
            <w:r>
              <w:rPr>
                <w:rFonts w:hint="eastAsia" w:ascii="楷体" w:hAnsi="楷体" w:eastAsia="楷体" w:cs="楷体"/>
                <w:bCs/>
                <w:color w:val="000000" w:themeColor="text1"/>
                <w:sz w:val="28"/>
                <w:szCs w:val="28"/>
                <w:lang w:val="en-US" w:eastAsia="zh-CN"/>
                <w14:textFill>
                  <w14:solidFill>
                    <w14:schemeClr w14:val="tx1"/>
                  </w14:solidFill>
                </w14:textFill>
              </w:rPr>
              <w:t>林业总产值（亿元）</w:t>
            </w:r>
          </w:p>
        </w:tc>
        <w:tc>
          <w:tcPr>
            <w:tcW w:w="119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楷体" w:hAnsi="楷体" w:eastAsia="楷体" w:cs="楷体"/>
                <w:bCs/>
                <w:color w:val="000000" w:themeColor="text1"/>
                <w:sz w:val="28"/>
                <w:szCs w:val="28"/>
                <w:lang w:val="en-US" w:eastAsia="zh-CN"/>
                <w14:textFill>
                  <w14:solidFill>
                    <w14:schemeClr w14:val="tx1"/>
                  </w14:solidFill>
                </w14:textFill>
              </w:rPr>
            </w:pPr>
            <w:r>
              <w:rPr>
                <w:rFonts w:hint="eastAsia" w:ascii="Times New Roman" w:hAnsi="方正仿宋_GBK" w:eastAsia="方正仿宋_GBK" w:cs="方正仿宋_GBK"/>
                <w:color w:val="000000" w:themeColor="text1"/>
                <w:kern w:val="2"/>
                <w:sz w:val="28"/>
                <w:szCs w:val="28"/>
                <w:highlight w:val="none"/>
                <w:lang w:val="en-US" w:eastAsia="zh-CN" w:bidi="ar"/>
                <w14:textFill>
                  <w14:solidFill>
                    <w14:schemeClr w14:val="tx1"/>
                  </w14:solidFill>
                </w14:textFill>
              </w:rPr>
              <w:t>8.26</w:t>
            </w:r>
          </w:p>
        </w:tc>
        <w:tc>
          <w:tcPr>
            <w:tcW w:w="1202"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highlight w:val="none"/>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highlight w:val="none"/>
                <w:lang w:val="en-US" w:eastAsia="zh-CN" w:bidi="ar"/>
                <w14:textFill>
                  <w14:solidFill>
                    <w14:schemeClr w14:val="tx1"/>
                  </w14:solidFill>
                </w14:textFill>
              </w:rPr>
              <w:t>8.30</w:t>
            </w:r>
          </w:p>
        </w:tc>
        <w:tc>
          <w:tcPr>
            <w:tcW w:w="1011" w:type="dxa"/>
            <w:vAlign w:val="top"/>
          </w:tcPr>
          <w:p>
            <w:pPr>
              <w:keepNext w:val="0"/>
              <w:keepLines w:val="0"/>
              <w:pageBreakBefore w:val="0"/>
              <w:widowControl w:val="0"/>
              <w:kinsoku/>
              <w:wordWrap/>
              <w:overflowPunct/>
              <w:topLinePunct w:val="0"/>
              <w:autoSpaceDE/>
              <w:autoSpaceDN/>
              <w:bidi w:val="0"/>
              <w:adjustRightInd/>
              <w:snapToGrid/>
              <w:spacing w:line="840" w:lineRule="auto"/>
              <w:ind w:right="105" w:rightChars="50"/>
              <w:jc w:val="center"/>
              <w:textAlignment w:val="auto"/>
              <w:rPr>
                <w:rFonts w:hint="eastAsia" w:ascii="楷体" w:hAnsi="楷体" w:eastAsia="楷体" w:cs="楷体"/>
                <w:bCs/>
                <w:color w:val="000000" w:themeColor="text1"/>
                <w:sz w:val="22"/>
                <w:szCs w:val="22"/>
                <w:highlight w:val="none"/>
                <w:lang w:val="en-US" w:eastAsia="zh-CN"/>
                <w14:textFill>
                  <w14:solidFill>
                    <w14:schemeClr w14:val="tx1"/>
                  </w14:solidFill>
                </w14:textFill>
              </w:rPr>
            </w:pPr>
            <w:r>
              <w:rPr>
                <w:rFonts w:hint="eastAsia" w:ascii="楷体" w:hAnsi="楷体" w:eastAsia="楷体" w:cs="楷体"/>
                <w:bCs/>
                <w:color w:val="000000" w:themeColor="text1"/>
                <w:sz w:val="22"/>
                <w:szCs w:val="22"/>
                <w:highlight w:val="none"/>
                <w:lang w:val="en-US" w:eastAsia="zh-CN"/>
                <w14:textFill>
                  <w14:solidFill>
                    <w14:schemeClr w14:val="tx1"/>
                  </w14:solidFill>
                </w14:textFill>
              </w:rPr>
              <w:t>预期性</w:t>
            </w:r>
          </w:p>
        </w:tc>
        <w:tc>
          <w:tcPr>
            <w:tcW w:w="1044" w:type="dxa"/>
            <w:vAlign w:val="top"/>
          </w:tcPr>
          <w:p>
            <w:pPr>
              <w:keepNext w:val="0"/>
              <w:keepLines w:val="0"/>
              <w:pageBreakBefore w:val="0"/>
              <w:widowControl w:val="0"/>
              <w:kinsoku/>
              <w:wordWrap/>
              <w:overflowPunct/>
              <w:topLinePunct w:val="0"/>
              <w:bidi w:val="0"/>
              <w:spacing w:line="540" w:lineRule="exact"/>
              <w:ind w:right="105" w:rightChars="50"/>
              <w:jc w:val="center"/>
              <w:textAlignment w:val="auto"/>
              <w:rPr>
                <w:rFonts w:hint="eastAsia" w:ascii="楷体" w:hAnsi="楷体" w:eastAsia="楷体" w:cs="楷体"/>
                <w:bCs/>
                <w:color w:val="000000" w:themeColor="text1"/>
                <w:sz w:val="28"/>
                <w:szCs w:val="28"/>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18</w:t>
            </w:r>
          </w:p>
        </w:tc>
        <w:tc>
          <w:tcPr>
            <w:tcW w:w="3788" w:type="dxa"/>
            <w:vAlign w:val="top"/>
          </w:tcPr>
          <w:p>
            <w:pPr>
              <w:keepNext w:val="0"/>
              <w:keepLines w:val="0"/>
              <w:pageBreakBefore w:val="0"/>
              <w:widowControl w:val="0"/>
              <w:kinsoku/>
              <w:wordWrap/>
              <w:overflowPunct/>
              <w:topLinePunct w:val="0"/>
              <w:bidi w:val="0"/>
              <w:spacing w:line="540" w:lineRule="exact"/>
              <w:ind w:right="105" w:rightChars="50"/>
              <w:jc w:val="center"/>
              <w:textAlignment w:val="auto"/>
              <w:rPr>
                <w:rFonts w:hint="eastAsia" w:ascii="楷体" w:hAnsi="楷体" w:eastAsia="楷体" w:cs="楷体"/>
                <w:bCs/>
                <w:color w:val="000000" w:themeColor="text1"/>
                <w:sz w:val="28"/>
                <w:szCs w:val="28"/>
                <w:lang w:val="en-US" w:eastAsia="zh-CN"/>
                <w14:textFill>
                  <w14:solidFill>
                    <w14:schemeClr w14:val="tx1"/>
                  </w14:solidFill>
                </w14:textFill>
              </w:rPr>
            </w:pPr>
            <w:r>
              <w:rPr>
                <w:rFonts w:hint="eastAsia" w:ascii="楷体" w:hAnsi="楷体" w:eastAsia="楷体" w:cs="楷体"/>
                <w:bCs/>
                <w:color w:val="000000" w:themeColor="text1"/>
                <w:sz w:val="28"/>
                <w:szCs w:val="28"/>
                <w:lang w:val="en-US" w:eastAsia="zh-CN"/>
                <w14:textFill>
                  <w14:solidFill>
                    <w14:schemeClr w14:val="tx1"/>
                  </w14:solidFill>
                </w14:textFill>
              </w:rPr>
              <w:t>主要造林树种良种使用率（%）</w:t>
            </w:r>
          </w:p>
        </w:tc>
        <w:tc>
          <w:tcPr>
            <w:tcW w:w="119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楷体" w:hAnsi="楷体" w:eastAsia="楷体" w:cs="楷体"/>
                <w:bCs/>
                <w:color w:val="000000" w:themeColor="text1"/>
                <w:sz w:val="28"/>
                <w:szCs w:val="28"/>
                <w:lang w:val="en-US" w:eastAsia="zh-CN"/>
                <w14:textFill>
                  <w14:solidFill>
                    <w14:schemeClr w14:val="tx1"/>
                  </w14:solidFill>
                </w14:textFill>
              </w:rPr>
            </w:pPr>
            <w:r>
              <w:rPr>
                <w:rFonts w:hint="eastAsia" w:ascii="Times New Roman" w:hAnsi="方正仿宋_GBK" w:eastAsia="方正仿宋_GBK" w:cs="方正仿宋_GBK"/>
                <w:color w:val="000000" w:themeColor="text1"/>
                <w:kern w:val="2"/>
                <w:sz w:val="28"/>
                <w:szCs w:val="28"/>
                <w:highlight w:val="none"/>
                <w:lang w:val="en-US" w:eastAsia="zh-CN" w:bidi="ar"/>
                <w14:textFill>
                  <w14:solidFill>
                    <w14:schemeClr w14:val="tx1"/>
                  </w14:solidFill>
                </w14:textFill>
              </w:rPr>
              <w:t>64.00</w:t>
            </w:r>
          </w:p>
        </w:tc>
        <w:tc>
          <w:tcPr>
            <w:tcW w:w="1202"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highlight w:val="none"/>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highlight w:val="none"/>
                <w:lang w:val="en-US" w:eastAsia="zh-CN" w:bidi="ar"/>
                <w14:textFill>
                  <w14:solidFill>
                    <w14:schemeClr w14:val="tx1"/>
                  </w14:solidFill>
                </w14:textFill>
              </w:rPr>
              <w:t>65.00</w:t>
            </w:r>
          </w:p>
        </w:tc>
        <w:tc>
          <w:tcPr>
            <w:tcW w:w="1011" w:type="dxa"/>
            <w:vAlign w:val="top"/>
          </w:tcPr>
          <w:p>
            <w:pPr>
              <w:keepNext w:val="0"/>
              <w:keepLines w:val="0"/>
              <w:pageBreakBefore w:val="0"/>
              <w:widowControl w:val="0"/>
              <w:kinsoku/>
              <w:wordWrap/>
              <w:overflowPunct/>
              <w:topLinePunct w:val="0"/>
              <w:autoSpaceDE/>
              <w:autoSpaceDN/>
              <w:bidi w:val="0"/>
              <w:adjustRightInd/>
              <w:snapToGrid/>
              <w:spacing w:line="840" w:lineRule="auto"/>
              <w:ind w:right="105" w:rightChars="50"/>
              <w:jc w:val="center"/>
              <w:textAlignment w:val="auto"/>
              <w:rPr>
                <w:rFonts w:hint="eastAsia" w:ascii="楷体" w:hAnsi="楷体" w:eastAsia="楷体" w:cs="楷体"/>
                <w:bCs/>
                <w:color w:val="000000" w:themeColor="text1"/>
                <w:sz w:val="22"/>
                <w:szCs w:val="22"/>
                <w:highlight w:val="none"/>
                <w:lang w:val="en-US" w:eastAsia="zh-CN"/>
                <w14:textFill>
                  <w14:solidFill>
                    <w14:schemeClr w14:val="tx1"/>
                  </w14:solidFill>
                </w14:textFill>
              </w:rPr>
            </w:pPr>
            <w:r>
              <w:rPr>
                <w:rFonts w:hint="eastAsia" w:ascii="楷体" w:hAnsi="楷体" w:eastAsia="楷体" w:cs="楷体"/>
                <w:bCs/>
                <w:color w:val="000000" w:themeColor="text1"/>
                <w:sz w:val="22"/>
                <w:szCs w:val="22"/>
                <w:highlight w:val="none"/>
                <w:lang w:val="en-US" w:eastAsia="zh-CN"/>
                <w14:textFill>
                  <w14:solidFill>
                    <w14:schemeClr w14:val="tx1"/>
                  </w14:solidFill>
                </w14:textFill>
              </w:rPr>
              <w:t>预期性</w:t>
            </w:r>
          </w:p>
        </w:tc>
        <w:tc>
          <w:tcPr>
            <w:tcW w:w="1044" w:type="dxa"/>
            <w:vAlign w:val="top"/>
          </w:tcPr>
          <w:p>
            <w:pPr>
              <w:keepNext w:val="0"/>
              <w:keepLines w:val="0"/>
              <w:pageBreakBefore w:val="0"/>
              <w:widowControl w:val="0"/>
              <w:kinsoku/>
              <w:wordWrap/>
              <w:overflowPunct/>
              <w:topLinePunct w:val="0"/>
              <w:bidi w:val="0"/>
              <w:spacing w:line="540" w:lineRule="exact"/>
              <w:ind w:right="105" w:rightChars="50"/>
              <w:jc w:val="center"/>
              <w:textAlignment w:val="auto"/>
              <w:rPr>
                <w:rFonts w:hint="eastAsia" w:ascii="楷体" w:hAnsi="楷体" w:eastAsia="楷体" w:cs="楷体"/>
                <w:bCs/>
                <w:color w:val="000000" w:themeColor="text1"/>
                <w:sz w:val="28"/>
                <w:szCs w:val="28"/>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highlight w:val="none"/>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highlight w:val="none"/>
                <w:lang w:val="en-US" w:eastAsia="zh-CN" w:bidi="ar"/>
                <w14:textFill>
                  <w14:solidFill>
                    <w14:schemeClr w14:val="tx1"/>
                  </w14:solidFill>
                </w14:textFill>
              </w:rPr>
              <w:t>19</w:t>
            </w:r>
          </w:p>
        </w:tc>
        <w:tc>
          <w:tcPr>
            <w:tcW w:w="378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楷体" w:hAnsi="楷体" w:eastAsia="楷体" w:cs="楷体"/>
                <w:bCs/>
                <w:color w:val="000000" w:themeColor="text1"/>
                <w:sz w:val="28"/>
                <w:szCs w:val="28"/>
                <w:highlight w:val="none"/>
                <w:lang w:val="en-US" w:eastAsia="zh-CN"/>
                <w14:textFill>
                  <w14:solidFill>
                    <w14:schemeClr w14:val="tx1"/>
                  </w14:solidFill>
                </w14:textFill>
              </w:rPr>
            </w:pPr>
            <w:r>
              <w:rPr>
                <w:rFonts w:hint="eastAsia" w:ascii="楷体" w:hAnsi="楷体" w:eastAsia="楷体" w:cs="楷体"/>
                <w:bCs/>
                <w:color w:val="000000" w:themeColor="text1"/>
                <w:sz w:val="28"/>
                <w:szCs w:val="28"/>
                <w:highlight w:val="none"/>
                <w:lang w:val="en-US" w:eastAsia="zh-CN"/>
                <w14:textFill>
                  <w14:solidFill>
                    <w14:schemeClr w14:val="tx1"/>
                  </w14:solidFill>
                </w14:textFill>
              </w:rPr>
              <w:t>林草科技贡献率（%）</w:t>
            </w:r>
          </w:p>
        </w:tc>
        <w:tc>
          <w:tcPr>
            <w:tcW w:w="119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楷体" w:hAnsi="楷体" w:eastAsia="楷体" w:cs="楷体"/>
                <w:bCs/>
                <w:color w:val="000000" w:themeColor="text1"/>
                <w:sz w:val="28"/>
                <w:szCs w:val="28"/>
                <w:highlight w:val="yellow"/>
                <w:lang w:val="en-US" w:eastAsia="zh-CN"/>
                <w14:textFill>
                  <w14:solidFill>
                    <w14:schemeClr w14:val="tx1"/>
                  </w14:solidFill>
                </w14:textFill>
              </w:rPr>
            </w:pPr>
            <w:r>
              <w:rPr>
                <w:rFonts w:hint="eastAsia" w:ascii="Times New Roman" w:hAnsi="方正仿宋_GBK" w:eastAsia="方正仿宋_GBK" w:cs="方正仿宋_GBK"/>
                <w:color w:val="000000" w:themeColor="text1"/>
                <w:kern w:val="2"/>
                <w:sz w:val="28"/>
                <w:szCs w:val="28"/>
                <w:highlight w:val="none"/>
                <w:lang w:val="en-US" w:eastAsia="zh-CN" w:bidi="ar"/>
                <w14:textFill>
                  <w14:solidFill>
                    <w14:schemeClr w14:val="tx1"/>
                  </w14:solidFill>
                </w14:textFill>
              </w:rPr>
              <w:t>63.00</w:t>
            </w:r>
          </w:p>
        </w:tc>
        <w:tc>
          <w:tcPr>
            <w:tcW w:w="1202"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highlight w:val="none"/>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highlight w:val="none"/>
                <w:lang w:val="en-US" w:eastAsia="zh-CN" w:bidi="ar"/>
                <w14:textFill>
                  <w14:solidFill>
                    <w14:schemeClr w14:val="tx1"/>
                  </w14:solidFill>
                </w14:textFill>
              </w:rPr>
              <w:t>65.00</w:t>
            </w:r>
          </w:p>
        </w:tc>
        <w:tc>
          <w:tcPr>
            <w:tcW w:w="1011" w:type="dxa"/>
            <w:vAlign w:val="top"/>
          </w:tcPr>
          <w:p>
            <w:pPr>
              <w:keepNext w:val="0"/>
              <w:keepLines w:val="0"/>
              <w:pageBreakBefore w:val="0"/>
              <w:widowControl w:val="0"/>
              <w:kinsoku/>
              <w:wordWrap/>
              <w:overflowPunct/>
              <w:topLinePunct w:val="0"/>
              <w:autoSpaceDE/>
              <w:autoSpaceDN/>
              <w:bidi w:val="0"/>
              <w:adjustRightInd/>
              <w:snapToGrid/>
              <w:spacing w:line="840" w:lineRule="auto"/>
              <w:ind w:right="105" w:rightChars="50"/>
              <w:jc w:val="center"/>
              <w:textAlignment w:val="auto"/>
              <w:rPr>
                <w:rFonts w:hint="eastAsia" w:ascii="楷体" w:hAnsi="楷体" w:eastAsia="楷体" w:cs="楷体"/>
                <w:bCs/>
                <w:color w:val="000000" w:themeColor="text1"/>
                <w:sz w:val="22"/>
                <w:szCs w:val="22"/>
                <w:highlight w:val="none"/>
                <w:lang w:val="en-US" w:eastAsia="zh-CN"/>
                <w14:textFill>
                  <w14:solidFill>
                    <w14:schemeClr w14:val="tx1"/>
                  </w14:solidFill>
                </w14:textFill>
              </w:rPr>
            </w:pPr>
            <w:r>
              <w:rPr>
                <w:rFonts w:hint="eastAsia" w:ascii="楷体" w:hAnsi="楷体" w:eastAsia="楷体" w:cs="楷体"/>
                <w:bCs/>
                <w:color w:val="000000" w:themeColor="text1"/>
                <w:sz w:val="22"/>
                <w:szCs w:val="22"/>
                <w:highlight w:val="none"/>
                <w:lang w:val="en-US" w:eastAsia="zh-CN"/>
                <w14:textFill>
                  <w14:solidFill>
                    <w14:schemeClr w14:val="tx1"/>
                  </w14:solidFill>
                </w14:textFill>
              </w:rPr>
              <w:t>预期性</w:t>
            </w:r>
          </w:p>
        </w:tc>
        <w:tc>
          <w:tcPr>
            <w:tcW w:w="1044" w:type="dxa"/>
            <w:vAlign w:val="top"/>
          </w:tcPr>
          <w:p>
            <w:pPr>
              <w:keepNext w:val="0"/>
              <w:keepLines w:val="0"/>
              <w:pageBreakBefore w:val="0"/>
              <w:widowControl w:val="0"/>
              <w:kinsoku/>
              <w:wordWrap/>
              <w:overflowPunct/>
              <w:topLinePunct w:val="0"/>
              <w:bidi w:val="0"/>
              <w:spacing w:line="540" w:lineRule="exact"/>
              <w:ind w:right="105" w:rightChars="50"/>
              <w:jc w:val="center"/>
              <w:textAlignment w:val="auto"/>
              <w:rPr>
                <w:rFonts w:hint="eastAsia" w:ascii="楷体" w:hAnsi="楷体" w:eastAsia="楷体" w:cs="楷体"/>
                <w:bCs/>
                <w:color w:val="000000" w:themeColor="text1"/>
                <w:sz w:val="28"/>
                <w:szCs w:val="28"/>
                <w:highlight w:val="yellow"/>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20</w:t>
            </w:r>
          </w:p>
        </w:tc>
        <w:tc>
          <w:tcPr>
            <w:tcW w:w="378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eastAsia" w:ascii="楷体" w:hAnsi="楷体" w:eastAsia="楷体" w:cs="楷体"/>
                <w:bCs/>
                <w:color w:val="000000" w:themeColor="text1"/>
                <w:sz w:val="28"/>
                <w:szCs w:val="28"/>
                <w:lang w:val="en-US" w:eastAsia="zh-CN"/>
                <w14:textFill>
                  <w14:solidFill>
                    <w14:schemeClr w14:val="tx1"/>
                  </w14:solidFill>
                </w14:textFill>
              </w:rPr>
            </w:pPr>
            <w:r>
              <w:rPr>
                <w:rFonts w:hint="eastAsia" w:ascii="楷体" w:hAnsi="楷体" w:eastAsia="楷体" w:cs="楷体"/>
                <w:bCs/>
                <w:color w:val="000000" w:themeColor="text1"/>
                <w:sz w:val="28"/>
                <w:szCs w:val="28"/>
                <w:lang w:val="en-US" w:eastAsia="zh-CN"/>
                <w14:textFill>
                  <w14:solidFill>
                    <w14:schemeClr w14:val="tx1"/>
                  </w14:solidFill>
                </w14:textFill>
              </w:rPr>
              <w:t>义务植树（万株）</w:t>
            </w:r>
          </w:p>
        </w:tc>
        <w:tc>
          <w:tcPr>
            <w:tcW w:w="119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楷体" w:hAnsi="楷体" w:eastAsia="楷体" w:cs="楷体"/>
                <w:bCs/>
                <w:color w:val="000000" w:themeColor="text1"/>
                <w:sz w:val="28"/>
                <w:szCs w:val="28"/>
                <w:lang w:val="en-US" w:eastAsia="zh-CN"/>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380.00</w:t>
            </w:r>
          </w:p>
        </w:tc>
        <w:tc>
          <w:tcPr>
            <w:tcW w:w="1202"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400.00</w:t>
            </w:r>
          </w:p>
        </w:tc>
        <w:tc>
          <w:tcPr>
            <w:tcW w:w="1011" w:type="dxa"/>
            <w:vAlign w:val="top"/>
          </w:tcPr>
          <w:p>
            <w:pPr>
              <w:keepNext w:val="0"/>
              <w:keepLines w:val="0"/>
              <w:pageBreakBefore w:val="0"/>
              <w:widowControl w:val="0"/>
              <w:kinsoku/>
              <w:wordWrap/>
              <w:overflowPunct/>
              <w:topLinePunct w:val="0"/>
              <w:autoSpaceDE/>
              <w:autoSpaceDN/>
              <w:bidi w:val="0"/>
              <w:adjustRightInd/>
              <w:snapToGrid/>
              <w:spacing w:line="840" w:lineRule="auto"/>
              <w:ind w:right="105" w:rightChars="50"/>
              <w:jc w:val="center"/>
              <w:textAlignment w:val="auto"/>
              <w:rPr>
                <w:rFonts w:hint="eastAsia" w:ascii="楷体" w:hAnsi="楷体" w:eastAsia="楷体" w:cs="楷体"/>
                <w:bCs/>
                <w:color w:val="000000" w:themeColor="text1"/>
                <w:sz w:val="22"/>
                <w:szCs w:val="22"/>
                <w:lang w:val="en-US" w:eastAsia="zh-CN"/>
                <w14:textFill>
                  <w14:solidFill>
                    <w14:schemeClr w14:val="tx1"/>
                  </w14:solidFill>
                </w14:textFill>
              </w:rPr>
            </w:pPr>
            <w:r>
              <w:rPr>
                <w:rFonts w:hint="eastAsia" w:ascii="楷体" w:hAnsi="楷体" w:eastAsia="楷体" w:cs="楷体"/>
                <w:bCs/>
                <w:color w:val="000000" w:themeColor="text1"/>
                <w:sz w:val="22"/>
                <w:szCs w:val="22"/>
                <w:lang w:val="en-US" w:eastAsia="zh-CN"/>
                <w14:textFill>
                  <w14:solidFill>
                    <w14:schemeClr w14:val="tx1"/>
                  </w14:solidFill>
                </w14:textFill>
              </w:rPr>
              <w:t>预期性</w:t>
            </w:r>
          </w:p>
        </w:tc>
        <w:tc>
          <w:tcPr>
            <w:tcW w:w="1044" w:type="dxa"/>
            <w:vAlign w:val="top"/>
          </w:tcPr>
          <w:p>
            <w:pPr>
              <w:keepNext w:val="0"/>
              <w:keepLines w:val="0"/>
              <w:pageBreakBefore w:val="0"/>
              <w:widowControl w:val="0"/>
              <w:kinsoku/>
              <w:wordWrap/>
              <w:overflowPunct/>
              <w:topLinePunct w:val="0"/>
              <w:bidi w:val="0"/>
              <w:spacing w:line="540" w:lineRule="exact"/>
              <w:ind w:right="105" w:rightChars="50"/>
              <w:jc w:val="center"/>
              <w:textAlignment w:val="auto"/>
              <w:rPr>
                <w:rFonts w:hint="eastAsia" w:ascii="楷体" w:hAnsi="楷体" w:eastAsia="楷体" w:cs="楷体"/>
                <w:bCs/>
                <w:color w:val="000000" w:themeColor="text1"/>
                <w:sz w:val="28"/>
                <w:szCs w:val="28"/>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lang w:val="en-US" w:eastAsia="zh-CN" w:bidi="ar"/>
                <w14:textFill>
                  <w14:solidFill>
                    <w14:schemeClr w14:val="tx1"/>
                  </w14:solidFill>
                </w14:textFill>
              </w:rPr>
              <w:t>21</w:t>
            </w:r>
          </w:p>
        </w:tc>
        <w:tc>
          <w:tcPr>
            <w:tcW w:w="378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eastAsia" w:ascii="楷体" w:hAnsi="楷体" w:eastAsia="楷体" w:cs="楷体"/>
                <w:bCs/>
                <w:color w:val="000000" w:themeColor="text1"/>
                <w:sz w:val="28"/>
                <w:szCs w:val="28"/>
                <w:highlight w:val="none"/>
                <w:lang w:val="en-US" w:eastAsia="zh-CN"/>
                <w14:textFill>
                  <w14:solidFill>
                    <w14:schemeClr w14:val="tx1"/>
                  </w14:solidFill>
                </w14:textFill>
              </w:rPr>
            </w:pPr>
            <w:r>
              <w:rPr>
                <w:rFonts w:hint="eastAsia" w:ascii="楷体" w:hAnsi="楷体" w:eastAsia="楷体" w:cs="楷体"/>
                <w:bCs/>
                <w:color w:val="000000" w:themeColor="text1"/>
                <w:sz w:val="28"/>
                <w:szCs w:val="28"/>
                <w:highlight w:val="none"/>
                <w:lang w:val="en-US" w:eastAsia="zh-CN"/>
                <w14:textFill>
                  <w14:solidFill>
                    <w14:schemeClr w14:val="tx1"/>
                  </w14:solidFill>
                </w14:textFill>
              </w:rPr>
              <w:t>义务植树尽责率</w:t>
            </w:r>
            <w:r>
              <w:rPr>
                <w:rFonts w:hint="eastAsia" w:ascii="楷体" w:hAnsi="楷体" w:eastAsia="楷体" w:cs="楷体"/>
                <w:color w:val="000000" w:themeColor="text1"/>
                <w:sz w:val="28"/>
                <w:szCs w:val="28"/>
                <w:highlight w:val="none"/>
                <w:lang w:val="en-US" w:eastAsia="zh-CN"/>
                <w14:textFill>
                  <w14:solidFill>
                    <w14:schemeClr w14:val="tx1"/>
                  </w14:solidFill>
                </w14:textFill>
              </w:rPr>
              <w:t>（%）</w:t>
            </w:r>
          </w:p>
        </w:tc>
        <w:tc>
          <w:tcPr>
            <w:tcW w:w="1198"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楷体" w:hAnsi="楷体" w:eastAsia="楷体" w:cs="楷体"/>
                <w:bCs/>
                <w:color w:val="000000" w:themeColor="text1"/>
                <w:sz w:val="28"/>
                <w:szCs w:val="28"/>
                <w:highlight w:val="none"/>
                <w:lang w:val="en-US" w:eastAsia="zh-CN"/>
                <w14:textFill>
                  <w14:solidFill>
                    <w14:schemeClr w14:val="tx1"/>
                  </w14:solidFill>
                </w14:textFill>
              </w:rPr>
            </w:pPr>
            <w:r>
              <w:rPr>
                <w:rFonts w:hint="eastAsia" w:ascii="Times New Roman" w:hAnsi="方正仿宋_GBK" w:eastAsia="方正仿宋_GBK" w:cs="方正仿宋_GBK"/>
                <w:color w:val="000000" w:themeColor="text1"/>
                <w:kern w:val="2"/>
                <w:sz w:val="28"/>
                <w:szCs w:val="28"/>
                <w:highlight w:val="none"/>
                <w:lang w:val="en-US" w:eastAsia="zh-CN" w:bidi="ar"/>
                <w14:textFill>
                  <w14:solidFill>
                    <w14:schemeClr w14:val="tx1"/>
                  </w14:solidFill>
                </w14:textFill>
              </w:rPr>
              <w:t>85.00</w:t>
            </w:r>
          </w:p>
        </w:tc>
        <w:tc>
          <w:tcPr>
            <w:tcW w:w="1202" w:type="dxa"/>
            <w:vAlign w:val="top"/>
          </w:tcPr>
          <w:p>
            <w:pPr>
              <w:keepNext w:val="0"/>
              <w:keepLines w:val="0"/>
              <w:pageBreakBefore w:val="0"/>
              <w:widowControl w:val="0"/>
              <w:kinsoku/>
              <w:wordWrap/>
              <w:overflowPunct/>
              <w:topLinePunct w:val="0"/>
              <w:bidi w:val="0"/>
              <w:spacing w:line="720" w:lineRule="auto"/>
              <w:ind w:right="105" w:rightChars="50"/>
              <w:jc w:val="center"/>
              <w:textAlignment w:val="auto"/>
              <w:rPr>
                <w:rFonts w:hint="default" w:ascii="Times New Roman" w:hAnsi="方正仿宋_GBK" w:eastAsia="方正仿宋_GBK" w:cs="方正仿宋_GBK"/>
                <w:color w:val="000000" w:themeColor="text1"/>
                <w:kern w:val="2"/>
                <w:sz w:val="28"/>
                <w:szCs w:val="28"/>
                <w:highlight w:val="none"/>
                <w:lang w:val="en-US" w:eastAsia="zh-CN" w:bidi="ar"/>
                <w14:textFill>
                  <w14:solidFill>
                    <w14:schemeClr w14:val="tx1"/>
                  </w14:solidFill>
                </w14:textFill>
              </w:rPr>
            </w:pPr>
            <w:r>
              <w:rPr>
                <w:rFonts w:hint="eastAsia" w:ascii="Times New Roman" w:hAnsi="方正仿宋_GBK" w:eastAsia="方正仿宋_GBK" w:cs="方正仿宋_GBK"/>
                <w:color w:val="000000" w:themeColor="text1"/>
                <w:kern w:val="2"/>
                <w:sz w:val="28"/>
                <w:szCs w:val="28"/>
                <w:highlight w:val="none"/>
                <w:lang w:val="en-US" w:eastAsia="zh-CN" w:bidi="ar"/>
                <w14:textFill>
                  <w14:solidFill>
                    <w14:schemeClr w14:val="tx1"/>
                  </w14:solidFill>
                </w14:textFill>
              </w:rPr>
              <w:t>90.00</w:t>
            </w:r>
          </w:p>
        </w:tc>
        <w:tc>
          <w:tcPr>
            <w:tcW w:w="1011" w:type="dxa"/>
            <w:vAlign w:val="top"/>
          </w:tcPr>
          <w:p>
            <w:pPr>
              <w:keepNext w:val="0"/>
              <w:keepLines w:val="0"/>
              <w:pageBreakBefore w:val="0"/>
              <w:widowControl w:val="0"/>
              <w:kinsoku/>
              <w:wordWrap/>
              <w:overflowPunct/>
              <w:topLinePunct w:val="0"/>
              <w:autoSpaceDE/>
              <w:autoSpaceDN/>
              <w:bidi w:val="0"/>
              <w:adjustRightInd/>
              <w:snapToGrid/>
              <w:spacing w:line="840" w:lineRule="auto"/>
              <w:ind w:right="105" w:rightChars="50"/>
              <w:jc w:val="center"/>
              <w:textAlignment w:val="auto"/>
              <w:rPr>
                <w:rFonts w:hint="eastAsia" w:ascii="楷体" w:hAnsi="楷体" w:eastAsia="楷体" w:cs="楷体"/>
                <w:bCs/>
                <w:color w:val="000000" w:themeColor="text1"/>
                <w:sz w:val="22"/>
                <w:szCs w:val="22"/>
                <w:lang w:val="en-US" w:eastAsia="zh-CN"/>
                <w14:textFill>
                  <w14:solidFill>
                    <w14:schemeClr w14:val="tx1"/>
                  </w14:solidFill>
                </w14:textFill>
              </w:rPr>
            </w:pPr>
            <w:r>
              <w:rPr>
                <w:rFonts w:hint="eastAsia" w:ascii="楷体" w:hAnsi="楷体" w:eastAsia="楷体" w:cs="楷体"/>
                <w:bCs/>
                <w:color w:val="000000" w:themeColor="text1"/>
                <w:sz w:val="22"/>
                <w:szCs w:val="22"/>
                <w:lang w:val="en-US" w:eastAsia="zh-CN"/>
                <w14:textFill>
                  <w14:solidFill>
                    <w14:schemeClr w14:val="tx1"/>
                  </w14:solidFill>
                </w14:textFill>
              </w:rPr>
              <w:t>预期性</w:t>
            </w:r>
          </w:p>
        </w:tc>
        <w:tc>
          <w:tcPr>
            <w:tcW w:w="1044" w:type="dxa"/>
            <w:vAlign w:val="top"/>
          </w:tcPr>
          <w:p>
            <w:pPr>
              <w:keepNext w:val="0"/>
              <w:keepLines w:val="0"/>
              <w:pageBreakBefore w:val="0"/>
              <w:widowControl w:val="0"/>
              <w:kinsoku/>
              <w:wordWrap/>
              <w:overflowPunct/>
              <w:topLinePunct w:val="0"/>
              <w:bidi w:val="0"/>
              <w:spacing w:line="540" w:lineRule="exact"/>
              <w:ind w:right="105" w:rightChars="50"/>
              <w:jc w:val="center"/>
              <w:textAlignment w:val="auto"/>
              <w:rPr>
                <w:rFonts w:hint="eastAsia" w:ascii="楷体" w:hAnsi="楷体" w:eastAsia="楷体" w:cs="楷体"/>
                <w:bCs/>
                <w:color w:val="000000" w:themeColor="text1"/>
                <w:sz w:val="28"/>
                <w:szCs w:val="28"/>
                <w:lang w:val="en-US" w:eastAsia="zh-CN"/>
                <w14:textFill>
                  <w14:solidFill>
                    <w14:schemeClr w14:val="tx1"/>
                  </w14:solidFill>
                </w14:textFill>
              </w:rPr>
            </w:pPr>
          </w:p>
        </w:tc>
      </w:tr>
    </w:tbl>
    <w:p>
      <w:pPr>
        <w:pStyle w:val="5"/>
        <w:keepNext/>
        <w:keepLines/>
        <w:pageBreakBefore w:val="0"/>
        <w:widowControl/>
        <w:kinsoku/>
        <w:wordWrap/>
        <w:overflowPunct/>
        <w:topLinePunct w:val="0"/>
        <w:autoSpaceDE/>
        <w:autoSpaceDN/>
        <w:bidi w:val="0"/>
        <w:adjustRightInd/>
        <w:snapToGrid/>
        <w:spacing w:before="194" w:beforeLines="50" w:after="194" w:afterLines="50" w:line="600" w:lineRule="exact"/>
        <w:jc w:val="both"/>
        <w:textAlignment w:val="auto"/>
        <w:outlineLvl w:val="9"/>
        <w:rPr>
          <w:rFonts w:hint="eastAsia" w:asciiTheme="majorEastAsia" w:hAnsiTheme="majorEastAsia" w:eastAsiaTheme="majorEastAsia" w:cstheme="majorEastAsia"/>
          <w:b/>
          <w:bCs/>
          <w:color w:val="000000" w:themeColor="text1"/>
          <w:kern w:val="0"/>
          <w:sz w:val="36"/>
          <w:szCs w:val="36"/>
          <w:lang w:val="en-US" w:eastAsia="zh-CN" w:bidi="ar-SA"/>
          <w14:textFill>
            <w14:solidFill>
              <w14:schemeClr w14:val="tx1"/>
            </w14:solidFill>
          </w14:textFill>
        </w:rPr>
      </w:pPr>
    </w:p>
    <w:p>
      <w:pPr>
        <w:pStyle w:val="5"/>
        <w:keepNext/>
        <w:keepLines/>
        <w:pageBreakBefore w:val="0"/>
        <w:widowControl/>
        <w:kinsoku/>
        <w:wordWrap/>
        <w:overflowPunct/>
        <w:topLinePunct w:val="0"/>
        <w:autoSpaceDE/>
        <w:autoSpaceDN/>
        <w:bidi w:val="0"/>
        <w:adjustRightInd/>
        <w:snapToGrid/>
        <w:spacing w:before="194" w:beforeLines="50" w:after="194" w:afterLines="50" w:line="600" w:lineRule="exact"/>
        <w:jc w:val="center"/>
        <w:textAlignment w:val="auto"/>
        <w:rPr>
          <w:rFonts w:hint="eastAsia" w:ascii="方正小标宋简体" w:hAnsi="方正小标宋简体" w:eastAsia="方正小标宋简体" w:cs="方正小标宋简体"/>
          <w:b w:val="0"/>
          <w:bCs w:val="0"/>
          <w:color w:val="000000" w:themeColor="text1"/>
          <w:kern w:val="0"/>
          <w:sz w:val="36"/>
          <w:szCs w:val="36"/>
          <w:lang w:val="en-US" w:eastAsia="zh-CN" w:bidi="ar-SA"/>
          <w14:textFill>
            <w14:solidFill>
              <w14:schemeClr w14:val="tx1"/>
            </w14:solidFill>
          </w14:textFill>
        </w:rPr>
      </w:pPr>
      <w:bookmarkStart w:id="21" w:name="_Toc23642"/>
      <w:r>
        <w:rPr>
          <w:rFonts w:hint="eastAsia" w:ascii="方正小标宋简体" w:hAnsi="方正小标宋简体" w:eastAsia="方正小标宋简体" w:cs="方正小标宋简体"/>
          <w:b w:val="0"/>
          <w:bCs w:val="0"/>
          <w:color w:val="000000" w:themeColor="text1"/>
          <w:kern w:val="0"/>
          <w:sz w:val="36"/>
          <w:szCs w:val="36"/>
          <w:lang w:val="en-US" w:eastAsia="zh-CN" w:bidi="ar-SA"/>
          <w14:textFill>
            <w14:solidFill>
              <w14:schemeClr w14:val="tx1"/>
            </w14:solidFill>
          </w14:textFill>
        </w:rPr>
        <w:t>第四节  空间产业布局</w:t>
      </w:r>
      <w:bookmarkEnd w:id="20"/>
      <w:bookmarkEnd w:id="21"/>
    </w:p>
    <w:p>
      <w:pPr>
        <w:pStyle w:val="6"/>
        <w:pageBreakBefore w:val="0"/>
        <w:kinsoku/>
        <w:wordWrap/>
        <w:overflowPunct/>
        <w:topLinePunct w:val="0"/>
        <w:bidi w:val="0"/>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一、</w:t>
      </w:r>
      <w:r>
        <w:rPr>
          <w:rFonts w:hint="eastAsia" w:ascii="黑体" w:hAnsi="黑体" w:eastAsia="黑体" w:cs="黑体"/>
          <w:b w:val="0"/>
          <w:bCs w:val="0"/>
          <w:color w:val="000000" w:themeColor="text1"/>
          <w:highlight w:val="none"/>
          <w:lang w:val="en-US" w:eastAsia="zh-CN"/>
          <w14:textFill>
            <w14:solidFill>
              <w14:schemeClr w14:val="tx1"/>
            </w14:solidFill>
          </w14:textFill>
        </w:rPr>
        <w:t>生态建设布局</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根据元谋县自然地理条件和林业特点，坚持“高站位、宽视野、大格局、切实际”原则，按照点面结合、协调发展，既要与国家、省、州发展规划同频共振，又要与元谋实施乡村振兴战略相结合，将全县规划为“三区一廊道”的发展总体布局，即生态保护建设区、生态修复建设区、绿色产业发展建设区和绿色生态廊道，构建起布局合理、功能完备、城乡一体的林业草原发展体系。</w:t>
      </w:r>
    </w:p>
    <w:p>
      <w:pPr>
        <w:pStyle w:val="38"/>
        <w:pageBreakBefore w:val="0"/>
        <w:kinsoku/>
        <w:wordWrap/>
        <w:overflowPunct/>
        <w:topLinePunct w:val="0"/>
        <w:bidi w:val="0"/>
        <w:spacing w:line="600" w:lineRule="exact"/>
        <w:ind w:firstLine="640"/>
        <w:textAlignment w:val="auto"/>
        <w:rPr>
          <w:rFonts w:hint="eastAsia" w:ascii="楷体_GB2312" w:hAnsi="楷体_GB2312" w:eastAsia="楷体_GB2312" w:cs="楷体_GB2312"/>
          <w:b w:val="0"/>
          <w:bCs w:val="0"/>
          <w:color w:val="000000" w:themeColor="text1"/>
          <w:lang w:val="en-US" w:eastAsia="zh-CN"/>
          <w14:textFill>
            <w14:solidFill>
              <w14:schemeClr w14:val="tx1"/>
            </w14:solidFill>
          </w14:textFill>
        </w:rPr>
      </w:pPr>
      <w:r>
        <w:rPr>
          <w:rFonts w:hint="eastAsia" w:ascii="楷体_GB2312" w:hAnsi="楷体_GB2312" w:eastAsia="楷体_GB2312" w:cs="楷体_GB2312"/>
          <w:b w:val="0"/>
          <w:bCs w:val="0"/>
          <w:color w:val="000000" w:themeColor="text1"/>
          <w:lang w:val="en-US" w:eastAsia="zh-CN"/>
          <w14:textFill>
            <w14:solidFill>
              <w14:schemeClr w14:val="tx1"/>
            </w14:solidFill>
          </w14:textFill>
        </w:rPr>
        <w:t>（一）“三区”之生态保护建设区</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元谋县地处金沙江干热河谷的特殊地段，生态环境十分脆弱，生态系统恢复和保护十分困难。为了涵养水源、保持水土、调蓄洪水、维系生物多样性，应有选择地划定一定面积予以重点保护和限制开发建设的区域。特将金沙江流域和东面山系在内的乡镇，北部的江边乡、姜驿乡，中部的元马镇、黄瓜园镇，东部的凉山乡，南部的羊街镇、老城乡，规划为生态保护建设区，重点突出森林生态和森林景观建设，增加森林植被，提升森林质量，加强生物多样性保护，在保护生态的前提下鼓励发展生态旅游业。</w:t>
      </w:r>
    </w:p>
    <w:p>
      <w:pPr>
        <w:pStyle w:val="38"/>
        <w:pageBreakBefore w:val="0"/>
        <w:kinsoku/>
        <w:wordWrap/>
        <w:overflowPunct/>
        <w:topLinePunct w:val="0"/>
        <w:bidi w:val="0"/>
        <w:spacing w:line="600" w:lineRule="exact"/>
        <w:ind w:firstLine="640"/>
        <w:textAlignment w:val="auto"/>
        <w:rPr>
          <w:rFonts w:hint="eastAsia" w:ascii="楷体_GB2312" w:hAnsi="楷体_GB2312" w:eastAsia="楷体_GB2312" w:cs="楷体_GB2312"/>
          <w:b w:val="0"/>
          <w:bCs w:val="0"/>
          <w:color w:val="000000" w:themeColor="text1"/>
          <w:lang w:val="en-US" w:eastAsia="zh-CN"/>
          <w14:textFill>
            <w14:solidFill>
              <w14:schemeClr w14:val="tx1"/>
            </w14:solidFill>
          </w14:textFill>
        </w:rPr>
      </w:pPr>
      <w:r>
        <w:rPr>
          <w:rFonts w:hint="eastAsia" w:ascii="楷体_GB2312" w:hAnsi="楷体_GB2312" w:eastAsia="楷体_GB2312" w:cs="楷体_GB2312"/>
          <w:b w:val="0"/>
          <w:bCs w:val="0"/>
          <w:color w:val="000000" w:themeColor="text1"/>
          <w:lang w:val="en-US" w:eastAsia="zh-CN"/>
          <w14:textFill>
            <w14:solidFill>
              <w14:schemeClr w14:val="tx1"/>
            </w14:solidFill>
          </w14:textFill>
        </w:rPr>
        <w:t>（二）“三区”之生态修复建设区</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重点打造金沙江干流和支流龙川江交汇地江边乡金沙湖东西两岸面山绿化区域，将流域内的江边乡和姜驿乡列为生态修复建设区，构建以乡土树种为主，常绿和色彩搭配的面山生态植被景观，使核心区域面山生态景观与项目区周边自然风光、地方风情相互融合，打造景色宜人的生态景观视觉，为促进生态旅游产业开发，促进金沙江乌东德电站库区移民区乡村振兴打好绿色生态基础。生态修复建设区将有效控制水土流失，使得面山绿化治理措施具有自身耐久性，生物措施对生态具有自我修复能力。筑牢云南省金沙江流域重要生态屏障，支撑云南省甚至国家的生态安全。</w:t>
      </w:r>
    </w:p>
    <w:p>
      <w:pPr>
        <w:pStyle w:val="38"/>
        <w:pageBreakBefore w:val="0"/>
        <w:kinsoku/>
        <w:wordWrap/>
        <w:overflowPunct/>
        <w:topLinePunct w:val="0"/>
        <w:bidi w:val="0"/>
        <w:spacing w:line="600" w:lineRule="exact"/>
        <w:ind w:firstLine="640"/>
        <w:textAlignment w:val="auto"/>
        <w:rPr>
          <w:rFonts w:hint="eastAsia" w:ascii="楷体_GB2312" w:hAnsi="楷体_GB2312" w:eastAsia="楷体_GB2312" w:cs="楷体_GB2312"/>
          <w:b w:val="0"/>
          <w:bCs w:val="0"/>
          <w:color w:val="000000" w:themeColor="text1"/>
          <w:lang w:val="en-US" w:eastAsia="zh-CN"/>
          <w14:textFill>
            <w14:solidFill>
              <w14:schemeClr w14:val="tx1"/>
            </w14:solidFill>
          </w14:textFill>
        </w:rPr>
      </w:pPr>
      <w:r>
        <w:rPr>
          <w:rFonts w:hint="eastAsia" w:ascii="楷体_GB2312" w:hAnsi="楷体_GB2312" w:eastAsia="楷体_GB2312" w:cs="楷体_GB2312"/>
          <w:b w:val="0"/>
          <w:bCs w:val="0"/>
          <w:color w:val="000000" w:themeColor="text1"/>
          <w:lang w:val="en-US" w:eastAsia="zh-CN"/>
          <w14:textFill>
            <w14:solidFill>
              <w14:schemeClr w14:val="tx1"/>
            </w14:solidFill>
          </w14:textFill>
        </w:rPr>
        <w:t>（三）“三区”之绿色产业发展建设区</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以林草产业项目为依托，将有机中药材种植、野生菌产业、核桃提质增效改造、国家储备林等林业生态建设项目涉及的元谋县10乡镇，规划为绿色产业建设区，重点建设名、特、优、新经济果木林，突出发展林下经济产业，提升科技含量、经营管理水平和品牌创新效益，带动农民增收致富。</w:t>
      </w:r>
    </w:p>
    <w:p>
      <w:pPr>
        <w:pStyle w:val="38"/>
        <w:pageBreakBefore w:val="0"/>
        <w:kinsoku/>
        <w:wordWrap/>
        <w:overflowPunct/>
        <w:topLinePunct w:val="0"/>
        <w:bidi w:val="0"/>
        <w:spacing w:line="600" w:lineRule="exact"/>
        <w:ind w:firstLine="640"/>
        <w:textAlignment w:val="auto"/>
        <w:rPr>
          <w:rFonts w:hint="eastAsia" w:ascii="楷体_GB2312" w:hAnsi="楷体_GB2312" w:eastAsia="楷体_GB2312" w:cs="楷体_GB2312"/>
          <w:b w:val="0"/>
          <w:bCs w:val="0"/>
          <w:color w:val="000000" w:themeColor="text1"/>
          <w:lang w:val="en-US" w:eastAsia="zh-CN"/>
          <w14:textFill>
            <w14:solidFill>
              <w14:schemeClr w14:val="tx1"/>
            </w14:solidFill>
          </w14:textFill>
        </w:rPr>
      </w:pPr>
      <w:r>
        <w:rPr>
          <w:rFonts w:hint="eastAsia" w:ascii="楷体_GB2312" w:hAnsi="楷体_GB2312" w:eastAsia="楷体_GB2312" w:cs="楷体_GB2312"/>
          <w:b w:val="0"/>
          <w:bCs w:val="0"/>
          <w:color w:val="000000" w:themeColor="text1"/>
          <w:lang w:val="en-US" w:eastAsia="zh-CN"/>
          <w14:textFill>
            <w14:solidFill>
              <w14:schemeClr w14:val="tx1"/>
            </w14:solidFill>
          </w14:textFill>
        </w:rPr>
        <w:t>（四）“一廊道”即生态廊道</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借助龙川河两岸的生态绿化成效，将“元谋县城内凤仪公园至黄瓜园大桥”沿线可视区域规划为生态廊道建设范围，大力实施“绿化发祥地行动”，努力打造天蓝、地绿、山青、水秀的绿色生活环境，让元谋靓起来，以期达到:“四季常绿、四季见花、四季有相”的愿景。</w:t>
      </w:r>
    </w:p>
    <w:p>
      <w:pPr>
        <w:pStyle w:val="6"/>
        <w:pageBreakBefore w:val="0"/>
        <w:kinsoku/>
        <w:wordWrap/>
        <w:overflowPunct/>
        <w:topLinePunct w:val="0"/>
        <w:bidi w:val="0"/>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二、产业发展布局</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3" w:firstLineChars="200"/>
        <w:jc w:val="both"/>
        <w:textAlignment w:val="auto"/>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pPr>
      <w:r>
        <w:rPr>
          <w:rFonts w:hint="default" w:ascii="Times New Roman" w:hAnsi="Times New Roman" w:eastAsia="仿宋_GB2312" w:cs="Times New Roman"/>
          <w:b/>
          <w:bCs w:val="0"/>
          <w:color w:val="000000" w:themeColor="text1"/>
          <w:sz w:val="32"/>
          <w:szCs w:val="32"/>
          <w:highlight w:val="none"/>
          <w:lang w:val="en-US" w:eastAsia="zh-CN"/>
          <w14:textFill>
            <w14:solidFill>
              <w14:schemeClr w14:val="tx1"/>
            </w14:solidFill>
          </w14:textFill>
        </w:rPr>
        <w:t>一林先行。</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启动国家储备林等林业生态建设，在元马镇、黄瓜园镇、老城乡、平田乡、物茂乡等乡镇实施木材基地建设、通道绿化建设、湿地公园建设、美丽乡村建设、林木种苗基地建设、防火通道建设。</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3" w:firstLineChars="200"/>
        <w:jc w:val="both"/>
        <w:textAlignment w:val="auto"/>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pPr>
      <w:r>
        <w:rPr>
          <w:rFonts w:hint="default" w:ascii="Times New Roman" w:hAnsi="Times New Roman" w:eastAsia="仿宋_GB2312" w:cs="Times New Roman"/>
          <w:b/>
          <w:bCs w:val="0"/>
          <w:color w:val="000000" w:themeColor="text1"/>
          <w:sz w:val="32"/>
          <w:szCs w:val="32"/>
          <w:highlight w:val="none"/>
          <w:lang w:val="en-US" w:eastAsia="zh-CN"/>
          <w14:textFill>
            <w14:solidFill>
              <w14:schemeClr w14:val="tx1"/>
            </w14:solidFill>
          </w14:textFill>
        </w:rPr>
        <w:t>双轮驱动。</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大力发展野生菌产业和核桃产业。在羊街镇和凉山乡实施野生菌保护区建设30万亩；实施野生菌保育基地建设5万亩；实施野生菌保育促繁科技示范基地建设150亩，同时开展鸡枞资源调查。深入推进核桃产业供给侧改革，在羊街、江边、姜驿、凉山等乡镇，进行核桃提质增效改造（品种改良、整形修剪、扩塘施肥、病虫防治）5万亩。</w:t>
      </w:r>
    </w:p>
    <w:p>
      <w:pPr>
        <w:keepNext w:val="0"/>
        <w:keepLines w:val="0"/>
        <w:pageBreakBefore w:val="0"/>
        <w:widowControl w:val="0"/>
        <w:numPr>
          <w:ilvl w:val="0"/>
          <w:numId w:val="0"/>
        </w:numPr>
        <w:kinsoku/>
        <w:wordWrap/>
        <w:overflowPunct/>
        <w:topLinePunct w:val="0"/>
        <w:autoSpaceDE/>
        <w:autoSpaceDN/>
        <w:bidi w:val="0"/>
        <w:adjustRightInd/>
        <w:spacing w:line="600" w:lineRule="exact"/>
        <w:ind w:firstLine="643" w:firstLineChars="200"/>
        <w:textAlignment w:val="auto"/>
        <w:rPr>
          <w:rFonts w:hint="default"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default" w:ascii="Times New Roman" w:hAnsi="Times New Roman" w:eastAsia="仿宋_GB2312" w:cs="Times New Roman"/>
          <w:b/>
          <w:bCs/>
          <w:color w:val="000000" w:themeColor="text1"/>
          <w:kern w:val="0"/>
          <w:sz w:val="32"/>
          <w:szCs w:val="32"/>
          <w:lang w:val="en-US" w:eastAsia="zh-CN" w:bidi="ar"/>
          <w14:textFill>
            <w14:solidFill>
              <w14:schemeClr w14:val="tx1"/>
            </w14:solidFill>
          </w14:textFill>
        </w:rPr>
        <w:t>多业并举。</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在物茂乡、甘塘点、江边乡等规划建设凤梨释迦、牛油果、芒果、澳洲坚果等热带亚热带特色经济林果基地2万亩；在老城乡规划建设黄檀、紫檀等珍贵用材林示范基地1万亩；在老城乡、黄瓜园镇等规划建设野生滇橄榄资源保护与开发利用示范基地0.2万亩；在姜驿乡、江边乡、凉山乡、羊街镇等规划核桃、花椒提质增效改造示范1万亩；在羊街镇、平田乡、新华乡等规划种植沃柑等优质柑桔基地0.5万亩；在姜驿乡规划水蜜桃提质增效改造1万亩；在羊街镇规划建设野生菌资源保护与开发利用示范基地0.2万亩、种植优质冬桃0.3万亩；在羊街镇等地规划新建林下彝香山猪养殖基地1个年养殖规模300头，出栏200头，在凉山乡、羊街镇进行有机中药材种植0.5万亩，配套建设微、滴灌系统，建设育苗工厂，大棚、设施农业等基础设施。</w:t>
      </w:r>
    </w:p>
    <w:p>
      <w:pPr>
        <w:jc w:val="center"/>
        <w:rPr>
          <w:rFonts w:hint="eastAsia" w:ascii="方正小标宋简体" w:hAnsi="方正小标宋简体" w:eastAsia="方正小标宋简体" w:cs="方正小标宋简体"/>
          <w:bCs/>
          <w:color w:val="000000" w:themeColor="text1"/>
          <w:kern w:val="44"/>
          <w:sz w:val="44"/>
          <w:szCs w:val="44"/>
          <w:lang w:val="en-US" w:eastAsia="zh-CN" w:bidi="ar"/>
          <w14:textFill>
            <w14:solidFill>
              <w14:schemeClr w14:val="tx1"/>
            </w14:solidFill>
          </w14:textFill>
        </w:rPr>
      </w:pPr>
      <w:bookmarkStart w:id="22" w:name="_Toc30361"/>
      <w:bookmarkStart w:id="23" w:name="_Toc18664"/>
    </w:p>
    <w:p>
      <w:pPr>
        <w:jc w:val="center"/>
        <w:rPr>
          <w:rFonts w:hint="eastAsia"/>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Cs/>
          <w:color w:val="000000" w:themeColor="text1"/>
          <w:kern w:val="44"/>
          <w:sz w:val="44"/>
          <w:szCs w:val="44"/>
          <w:lang w:val="en-US" w:eastAsia="zh-CN" w:bidi="ar"/>
          <w14:textFill>
            <w14:solidFill>
              <w14:schemeClr w14:val="tx1"/>
            </w14:solidFill>
          </w14:textFill>
        </w:rPr>
        <w:t>第三章 筑牢生态安全屏障</w:t>
      </w:r>
      <w:bookmarkEnd w:id="22"/>
      <w:bookmarkEnd w:id="23"/>
    </w:p>
    <w:p>
      <w:pPr>
        <w:pStyle w:val="5"/>
        <w:keepNext/>
        <w:keepLines/>
        <w:pageBreakBefore w:val="0"/>
        <w:widowControl/>
        <w:kinsoku/>
        <w:wordWrap/>
        <w:overflowPunct/>
        <w:topLinePunct w:val="0"/>
        <w:autoSpaceDE/>
        <w:autoSpaceDN/>
        <w:bidi w:val="0"/>
        <w:adjustRightInd/>
        <w:snapToGrid/>
        <w:spacing w:before="194" w:beforeLines="50" w:after="194" w:afterLines="50" w:line="600" w:lineRule="exact"/>
        <w:jc w:val="center"/>
        <w:textAlignment w:val="auto"/>
        <w:rPr>
          <w:rFonts w:hint="eastAsia" w:ascii="方正小标宋简体" w:hAnsi="方正小标宋简体" w:eastAsia="方正小标宋简体" w:cs="方正小标宋简体"/>
          <w:b w:val="0"/>
          <w:bCs w:val="0"/>
          <w:color w:val="000000" w:themeColor="text1"/>
          <w:kern w:val="0"/>
          <w:sz w:val="36"/>
          <w:szCs w:val="36"/>
          <w:lang w:val="en-US" w:eastAsia="zh-CN" w:bidi="ar-SA"/>
          <w14:textFill>
            <w14:solidFill>
              <w14:schemeClr w14:val="tx1"/>
            </w14:solidFill>
          </w14:textFill>
        </w:rPr>
      </w:pPr>
      <w:bookmarkStart w:id="24" w:name="_Toc21640"/>
      <w:bookmarkStart w:id="25" w:name="_Toc11066"/>
      <w:r>
        <w:rPr>
          <w:rFonts w:hint="eastAsia" w:ascii="方正小标宋简体" w:hAnsi="方正小标宋简体" w:eastAsia="方正小标宋简体" w:cs="方正小标宋简体"/>
          <w:b w:val="0"/>
          <w:bCs w:val="0"/>
          <w:color w:val="000000" w:themeColor="text1"/>
          <w:kern w:val="0"/>
          <w:sz w:val="36"/>
          <w:szCs w:val="36"/>
          <w:lang w:val="en-US" w:eastAsia="zh-CN" w:bidi="ar-SA"/>
          <w14:textFill>
            <w14:solidFill>
              <w14:schemeClr w14:val="tx1"/>
            </w14:solidFill>
          </w14:textFill>
        </w:rPr>
        <w:t>第一节 科学开展国土绿化行动</w:t>
      </w:r>
      <w:bookmarkEnd w:id="24"/>
      <w:bookmarkEnd w:id="25"/>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开展国土绿化行动，夯实自然生态根基、美丽本底，形成国土美丽新格局。贯彻落实习近平总书记关于“坚持走科学、生态、节俭的绿化之路”重要指示精神，坚持存量增量并重、数量质量统一，科学精准精细管理，强化造林绿化树种多样化、乡土化，全面提升绿化水平。</w:t>
      </w:r>
    </w:p>
    <w:p>
      <w:pPr>
        <w:rPr>
          <w:rFonts w:hint="eastAsia"/>
          <w:color w:val="000000" w:themeColor="text1"/>
          <w:lang w:val="en-US" w:eastAsia="zh-CN"/>
          <w14:textFill>
            <w14:solidFill>
              <w14:schemeClr w14:val="tx1"/>
            </w14:solidFill>
          </w14:textFill>
        </w:rPr>
      </w:pPr>
    </w:p>
    <w:p>
      <w:pPr>
        <w:jc w:val="center"/>
        <w:rPr>
          <w:color w:val="000000" w:themeColor="text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4097655</wp:posOffset>
                </wp:positionH>
                <wp:positionV relativeFrom="paragraph">
                  <wp:posOffset>193040</wp:posOffset>
                </wp:positionV>
                <wp:extent cx="827405" cy="256540"/>
                <wp:effectExtent l="4445" t="4445" r="6350" b="13335"/>
                <wp:wrapNone/>
                <wp:docPr id="3" name="文本框 3"/>
                <wp:cNvGraphicFramePr/>
                <a:graphic xmlns:a="http://schemas.openxmlformats.org/drawingml/2006/main">
                  <a:graphicData uri="http://schemas.microsoft.com/office/word/2010/wordprocessingShape">
                    <wps:wsp>
                      <wps:cNvSpPr txBox="1"/>
                      <wps:spPr>
                        <a:xfrm>
                          <a:off x="5033645" y="1961515"/>
                          <a:ext cx="827405" cy="256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楷体简体" w:hAnsi="方正楷体简体" w:eastAsia="方正楷体简体" w:cs="方正楷体简体"/>
                                <w:b/>
                                <w:bCs/>
                                <w:lang w:val="en-US" w:eastAsia="zh-CN"/>
                              </w:rPr>
                            </w:pPr>
                            <w:r>
                              <w:rPr>
                                <w:rFonts w:hint="eastAsia" w:ascii="方正楷体简体" w:hAnsi="方正楷体简体" w:eastAsia="方正楷体简体" w:cs="方正楷体简体"/>
                                <w:b/>
                                <w:bCs/>
                                <w:lang w:val="en-US" w:eastAsia="zh-CN"/>
                              </w:rPr>
                              <w:t>单位：万亩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2.65pt;margin-top:15.2pt;height:20.2pt;width:65.15pt;z-index:251660288;mso-width-relative:page;mso-height-relative:page;" fillcolor="#FFFFFF [3201]" filled="t" stroked="t" coordsize="21600,21600" o:gfxdata="UEsDBAoAAAAAAIdO4kAAAAAAAAAAAAAAAAAEAAAAZHJzL1BLAwQUAAAACACHTuJAYDGVhtYAAAAJ&#10;AQAADwAAAGRycy9kb3ducmV2LnhtbE2PwU7DMAyG70i8Q2QkbizZunVTaToJJCTEjdELt6zx2orE&#10;qZJsHW+POcHNlj/9/v56f/VOXDCmMZCG5UKBQOqCHanX0H68POxApGzIGhcINXxjgn1ze1ObyoaZ&#10;3vFyyL3gEEqV0TDkPFVSpm5Ab9IiTEh8O4XoTeY19tJGM3O4d3KlVCm9GYk/DGbC5wG7r8PZa3gt&#10;n/IntvbNFqsizK3s4sklre/vluoRRMZr/oPhV5/VoWGnYziTTcJpKNebglENhVqDYGC73ZQgjjyo&#10;Hcimlv8bND9QSwMEFAAAAAgAh07iQDapKjhKAgAAdAQAAA4AAABkcnMvZTJvRG9jLnhtbK1UwY7a&#10;MBC9V+o/WL6XJEDYXURYUVZUlVB3JVr17DgORHU8rm1I6Ae0f9BTL733u/iOjh1g2W5PVTmYGc/j&#10;jefNDJPbtpZkJ4ytQGU06cWUCMWhqNQ6ox/eL15dU2IdUwWToERG98LS2+nLF5NGj0UfNiALYQiS&#10;KDtudEY3zulxFFm+ETWzPdBCYbAEUzOHrllHhWENstcy6sfxKGrAFNoAF9bi7V0XpNPAX5aCu/uy&#10;tMIRmVF8mwunCWfuz2g6YeO1YXpT8eMz2D+8omaVwqRnqjvmGNma6hlVXXEDFkrX41BHUJYVF6EG&#10;rCaJ/6hmtWFahFpQHKvPMtn/R8vf7R4MqYqMDihRrMYWHb5/O/z4dfj5lQy8PI22Y0StNOJc+xpa&#10;bPPp3uKlr7otTe2/sR6C8TQeDEbDlJI9Ym9GSZqkndCidYQj4Lp/NYwxzhHQT0fpMDQieiTSxro3&#10;AmrijYwa7GOQl+2W1uGjEHqC+LwWZFUsKimDY9b5XBqyY9jzRfj47PiTJzCpSJPR0SCNA/OTmOc+&#10;U+SS8U/PGZBPKqT1+nQ6eMu1eXsULYdij5oZ6IbOar6okHfJrHtgBqcM5xE3x93jUUrAx8DRomQD&#10;5svf7j0em49RShqc2ozaz1tmBCXyrcKxuEmGqCVxwRmmV310zGUkv4yobT0HFCnBHdU8mB7v5Mks&#10;DdQfccFmPiuGmOKYO6PuZM5dt0u4oFzMZgGEg62ZW6qV5p7at0TBbOugrELrvEydNkf1cLRDe45r&#10;6Hfn0g+oxz+L6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gMZWG1gAAAAkBAAAPAAAAAAAAAAEA&#10;IAAAACIAAABkcnMvZG93bnJldi54bWxQSwECFAAUAAAACACHTuJANqkqOEoCAAB0BAAADgAAAAAA&#10;AAABACAAAAAlAQAAZHJzL2Uyb0RvYy54bWxQSwUGAAAAAAYABgBZAQAA4QUAAAAA&#10;">
                <v:fill on="t" focussize="0,0"/>
                <v:stroke weight="0.5pt" color="#000000 [3204]" joinstyle="round"/>
                <v:imagedata o:title=""/>
                <o:lock v:ext="edit" aspectratio="f"/>
                <v:textbox>
                  <w:txbxContent>
                    <w:p>
                      <w:pPr>
                        <w:rPr>
                          <w:rFonts w:hint="eastAsia" w:ascii="方正楷体简体" w:hAnsi="方正楷体简体" w:eastAsia="方正楷体简体" w:cs="方正楷体简体"/>
                          <w:b/>
                          <w:bCs/>
                          <w:lang w:val="en-US" w:eastAsia="zh-CN"/>
                        </w:rPr>
                      </w:pPr>
                      <w:r>
                        <w:rPr>
                          <w:rFonts w:hint="eastAsia" w:ascii="方正楷体简体" w:hAnsi="方正楷体简体" w:eastAsia="方正楷体简体" w:cs="方正楷体简体"/>
                          <w:b/>
                          <w:bCs/>
                          <w:lang w:val="en-US" w:eastAsia="zh-CN"/>
                        </w:rPr>
                        <w:t>单位：万亩</w:t>
                      </w:r>
                    </w:p>
                  </w:txbxContent>
                </v:textbox>
              </v:shape>
            </w:pict>
          </mc:Fallback>
        </mc:AlternateContent>
      </w:r>
      <w:r>
        <w:rPr>
          <w:color w:val="000000" w:themeColor="text1"/>
          <w14:textFill>
            <w14:solidFill>
              <w14:schemeClr w14:val="tx1"/>
            </w14:solidFill>
          </w14:textFill>
        </w:rPr>
        <w:drawing>
          <wp:inline distT="0" distB="0" distL="114300" distR="114300">
            <wp:extent cx="4572000" cy="2743200"/>
            <wp:effectExtent l="4445" t="4445" r="14605" b="14605"/>
            <wp:docPr id="9" name="图表 1" descr="7b0a202020202263686172745265734964223a2022383733373033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8"/>
        <w:ind w:left="0" w:leftChars="0" w:firstLine="0" w:firstLineChars="0"/>
        <w:jc w:val="center"/>
        <w:rPr>
          <w:rFonts w:hint="eastAsia"/>
          <w:color w:val="000000" w:themeColor="text1"/>
          <w:lang w:val="en-US" w:eastAsia="zh-CN"/>
          <w14:textFill>
            <w14:solidFill>
              <w14:schemeClr w14:val="tx1"/>
            </w14:solidFill>
          </w14:textFill>
        </w:rPr>
      </w:pPr>
      <w:r>
        <w:rPr>
          <w:rFonts w:hint="eastAsia" w:ascii="方正楷体简体" w:hAnsi="方正楷体简体" w:eastAsia="方正楷体简体" w:cs="方正楷体简体"/>
          <w:b/>
          <w:bCs/>
          <w:color w:val="000000" w:themeColor="text1"/>
          <w:sz w:val="24"/>
          <w:szCs w:val="22"/>
          <w:lang w:val="en-US" w:eastAsia="zh-CN"/>
          <w14:textFill>
            <w14:solidFill>
              <w14:schemeClr w14:val="tx1"/>
            </w14:solidFill>
          </w14:textFill>
        </w:rPr>
        <w:t>图3-1 “十四五”国土绿化任务量</w:t>
      </w:r>
    </w:p>
    <w:p>
      <w:pPr>
        <w:pStyle w:val="6"/>
        <w:pageBreakBefore w:val="0"/>
        <w:widowControl w:val="0"/>
        <w:kinsoku/>
        <w:wordWrap/>
        <w:overflowPunct/>
        <w:topLinePunct w:val="0"/>
        <w:autoSpaceDE/>
        <w:autoSpaceDN/>
        <w:bidi w:val="0"/>
        <w:adjustRightInd/>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bookmarkStart w:id="26" w:name="_Toc54190047"/>
      <w:bookmarkStart w:id="27" w:name="_Toc54190310"/>
      <w:bookmarkStart w:id="28" w:name="_Toc54190183"/>
      <w:r>
        <w:rPr>
          <w:rFonts w:hint="eastAsia" w:ascii="黑体" w:hAnsi="黑体" w:eastAsia="黑体" w:cs="黑体"/>
          <w:b w:val="0"/>
          <w:bCs w:val="0"/>
          <w:color w:val="000000" w:themeColor="text1"/>
          <w:lang w:val="en-US" w:eastAsia="zh-CN"/>
          <w14:textFill>
            <w14:solidFill>
              <w14:schemeClr w14:val="tx1"/>
            </w14:solidFill>
          </w14:textFill>
        </w:rPr>
        <w:t>一、推进生态工程建设</w:t>
      </w:r>
      <w:bookmarkEnd w:id="26"/>
      <w:bookmarkEnd w:id="27"/>
      <w:bookmarkEnd w:id="28"/>
      <w:r>
        <w:rPr>
          <w:rFonts w:hint="eastAsia" w:ascii="黑体" w:hAnsi="黑体" w:eastAsia="黑体" w:cs="黑体"/>
          <w:b w:val="0"/>
          <w:bCs w:val="0"/>
          <w:color w:val="000000" w:themeColor="text1"/>
          <w:lang w:val="en-US" w:eastAsia="zh-CN"/>
          <w14:textFill>
            <w14:solidFill>
              <w14:schemeClr w14:val="tx1"/>
            </w14:solidFill>
          </w14:textFill>
        </w:rPr>
        <w:t>驱动国土绿化</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以共筑滇中城市群区域生态安全格局为引领，以贯彻国家“重要生态系统保护和修复重大工程总体规划”为依据，认真落实最严格的耕地保护制度，统筹山水林田湖草沙一体化修复，坚持“一林两江两岸两面山”，实施退耕还林还草、防护林建设、石漠化综合治理等生态修复工程。建立以流域为单元的工程规划体系，推进金沙江水系防护林体系建设，构建带、片、网相结合的多树种、多层次、多功能的防护林体系。统筹耕地保护和退耕还林还草的关系，稳步推进退耕还林还草规模，逐步将非基本农田保护区范围内25度以上陡坡耕地、重要水源地15-25度坡耕地、严重石漠化耕地、严重污染耕地等纳入退耕还林还草范围，力争实现应退尽退。加强石漠化综合治理，坚持以自然恢复为主、工程措施为辅的理念，开展综合整治，全面改善严重石漠化地区生态状况，遏制水土流失。</w:t>
      </w:r>
    </w:p>
    <w:p>
      <w:pPr>
        <w:pStyle w:val="6"/>
        <w:pageBreakBefore w:val="0"/>
        <w:widowControl w:val="0"/>
        <w:kinsoku/>
        <w:wordWrap/>
        <w:overflowPunct/>
        <w:topLinePunct w:val="0"/>
        <w:autoSpaceDE/>
        <w:autoSpaceDN/>
        <w:bidi w:val="0"/>
        <w:adjustRightInd/>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bookmarkStart w:id="29" w:name="_Toc54190184"/>
      <w:bookmarkStart w:id="30" w:name="_Toc54190311"/>
      <w:bookmarkStart w:id="31" w:name="_Toc54190048"/>
      <w:r>
        <w:rPr>
          <w:rFonts w:hint="eastAsia" w:ascii="黑体" w:hAnsi="黑体" w:eastAsia="黑体" w:cs="黑体"/>
          <w:b w:val="0"/>
          <w:bCs w:val="0"/>
          <w:color w:val="000000" w:themeColor="text1"/>
          <w:lang w:val="en-US" w:eastAsia="zh-CN"/>
          <w14:textFill>
            <w14:solidFill>
              <w14:schemeClr w14:val="tx1"/>
            </w14:solidFill>
          </w14:textFill>
        </w:rPr>
        <w:t>二、大力突出重点领域绿化</w:t>
      </w:r>
      <w:bookmarkEnd w:id="29"/>
      <w:bookmarkEnd w:id="30"/>
      <w:bookmarkEnd w:id="31"/>
      <w:r>
        <w:rPr>
          <w:rFonts w:hint="eastAsia" w:ascii="黑体" w:hAnsi="黑体" w:eastAsia="黑体" w:cs="黑体"/>
          <w:b w:val="0"/>
          <w:bCs w:val="0"/>
          <w:color w:val="000000" w:themeColor="text1"/>
          <w:lang w:val="en-US" w:eastAsia="zh-CN"/>
          <w14:textFill>
            <w14:solidFill>
              <w14:schemeClr w14:val="tx1"/>
            </w14:solidFill>
          </w14:textFill>
        </w:rPr>
        <w:t>美化</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根据土地资源禀赋条件和生态建设实际需要，挖掘现有林地造林潜力，开展干热河谷、高寒山区、五采区等困难立地区域植被恢复，增强金沙江面山造林还草和岸线复绿，着力打造金沙江干流绿色生态廊道。开展“三沿”绿化行动，重点开展路域环境绿化美化，着力建设最美公路；以云南美丽河湖建设三年行动计划为抓手，推进以元谋东西面山、金沙江、龙川江为重点的封造结合，遏制水土流失，提升水源涵养和水土保持功能，保障大型水利设施安全。以国家森林城市、省级森林县城、森林乡村建设为载体，提高林地绿化程度，提升景观效果。</w:t>
      </w:r>
    </w:p>
    <w:p>
      <w:pPr>
        <w:pStyle w:val="8"/>
        <w:ind w:left="0" w:leftChars="0" w:firstLine="0" w:firstLineChars="0"/>
        <w:jc w:val="both"/>
        <w:rPr>
          <w:color w:val="000000" w:themeColor="text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4932045</wp:posOffset>
                </wp:positionH>
                <wp:positionV relativeFrom="paragraph">
                  <wp:posOffset>201295</wp:posOffset>
                </wp:positionV>
                <wp:extent cx="666750" cy="275590"/>
                <wp:effectExtent l="6350" t="6350" r="12700" b="7620"/>
                <wp:wrapNone/>
                <wp:docPr id="15" name="矩形 15"/>
                <wp:cNvGraphicFramePr/>
                <a:graphic xmlns:a="http://schemas.openxmlformats.org/drawingml/2006/main">
                  <a:graphicData uri="http://schemas.microsoft.com/office/word/2010/wordprocessingShape">
                    <wps:wsp>
                      <wps:cNvSpPr/>
                      <wps:spPr>
                        <a:xfrm>
                          <a:off x="5744210" y="7109460"/>
                          <a:ext cx="666750" cy="27559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ascii="方正楷体简体" w:hAnsi="方正楷体简体" w:eastAsia="方正楷体简体" w:cs="方正楷体简体"/>
                                <w:b/>
                                <w:bCs/>
                                <w:sz w:val="15"/>
                                <w:szCs w:val="15"/>
                                <w:lang w:val="en-US" w:eastAsia="zh-CN"/>
                              </w:rPr>
                            </w:pPr>
                            <w:r>
                              <w:rPr>
                                <w:rFonts w:hint="eastAsia" w:ascii="方正楷体简体" w:hAnsi="方正楷体简体" w:eastAsia="方正楷体简体" w:cs="方正楷体简体"/>
                                <w:b/>
                                <w:bCs/>
                                <w:sz w:val="15"/>
                                <w:szCs w:val="15"/>
                                <w:lang w:val="en-US" w:eastAsia="zh-CN"/>
                              </w:rPr>
                              <w:t>单位：万元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8.35pt;margin-top:15.85pt;height:21.7pt;width:52.5pt;z-index:251661312;v-text-anchor:middle;mso-width-relative:page;mso-height-relative:page;" fillcolor="#FFFFFF [3201]" filled="t" stroked="t" coordsize="21600,21600" o:gfxdata="UEsDBAoAAAAAAIdO4kAAAAAAAAAAAAAAAAAEAAAAZHJzL1BLAwQUAAAACACHTuJA2iuTCNYAAAAJ&#10;AQAADwAAAGRycy9kb3ducmV2LnhtbE2PMU/DMBCFdyT+g3VI3agTEE0U4nRAsLEkMJTtGpskwj5H&#10;sdsk/fVcJ5juTu/p3ffK/eKsOJspDJ4UpNsEhKHW64E6BZ8fb/c5iBCRNFpPRsFqAuyr25sSC+1n&#10;qs25iZ3gEAoFKuhjHAspQ9sbh2HrR0OsffvJYeRz6qSecOZwZ+VDkuykw4H4Q4+jeelN+9OcnAJs&#10;lq91XQ/zLGubDK+Xemzea6U2d2nyDCKaJf6Z4YrP6FAx09GfSAdhFWTZLmOrgseUJxvy/LocWXlK&#10;QVal/N+g+gVQSwMEFAAAAAgAh07iQJUO3WJmAgAAvgQAAA4AAABkcnMvZTJvRG9jLnhtbK1U224T&#10;MRB9R+IfLL/T3US5tFE3VdQqCKmilQri2fF6s5Z8w3ayKT+DxBsfwecgfoNj77ZNoU+IfXBmPMdz&#10;OTOT84uDVmQvfJDWVHR0UlIiDLe1NNuKfvywfnNKSYjM1ExZIyp6LwK9WL5+dd65hRjb1qpaeAIn&#10;Jiw6V9E2RrcoisBboVk4sU4YGBvrNYtQ/baoPevgXatiXJazorO+dt5yEQJur3ojXWb/TSN4vGma&#10;ICJRFUVuMZ8+n5t0Fstztth65lrJhzTYP2ShmTQI+ujqikVGdl7+5UpL7m2wTTzhVhe2aSQXuQZU&#10;Myr/qOauZU7kWkBOcI80hf/nlr/f33oia/RuSolhGj369fX7zx/fCC7ATufCAqA7d+sHLUBMpR4a&#10;r9MviiCHik7nk8l4BI7vKzoflWeT2cCuOETCAZjNZvMp7ByA8Xw6Pcv24smR8yG+FVaTJFTUo3mZ&#10;U7a/DhHBAX2ApLjBKlmvpVJZ8dvNpfJkz9Dodf5S9njyDKYM6VDqeF6mRBgGrlEsQtQOFASzpYSp&#10;LSaZR59jP3sdjoOU+XspSEryioW2TyZ7SDC20DJi2JXUFT09fq0MMk1E99QmKR42h4Hvja3v0SNv&#10;++ENjq8lIlyzEG+Zx7SiFGxgvMHRKIv67CBR0lr/5aX7hMcQwUpJh+lH7Z93zAtK1DuD8TobTSZw&#10;G7Mymc7HUPyxZXNsMTt9acH7CLvueBYTPqoHsfFWf8KirlJUmJjhiN2zPCiXsd9KrDoXq1WGYUUc&#10;i9fmzvHkPFFo7GoXbSPzPCSienYG/rAkuefDQqctPNYz6ulvZ/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2iuTCNYAAAAJAQAADwAAAAAAAAABACAAAAAiAAAAZHJzL2Rvd25yZXYueG1sUEsBAhQA&#10;FAAAAAgAh07iQJUO3WJmAgAAvgQAAA4AAAAAAAAAAQAgAAAAJQEAAGRycy9lMm9Eb2MueG1sUEsF&#10;BgAAAAAGAAYAWQEAAP0FAAAAAA==&#10;">
                <v:fill on="t" focussize="0,0"/>
                <v:stroke weight="1pt" color="#000000 [3200]" miterlimit="8" joinstyle="miter"/>
                <v:imagedata o:title=""/>
                <o:lock v:ext="edit" aspectratio="f"/>
                <v:textbox>
                  <w:txbxContent>
                    <w:p>
                      <w:pPr>
                        <w:jc w:val="center"/>
                        <w:rPr>
                          <w:rFonts w:hint="eastAsia" w:ascii="方正楷体简体" w:hAnsi="方正楷体简体" w:eastAsia="方正楷体简体" w:cs="方正楷体简体"/>
                          <w:b/>
                          <w:bCs/>
                          <w:sz w:val="15"/>
                          <w:szCs w:val="15"/>
                          <w:lang w:val="en-US" w:eastAsia="zh-CN"/>
                        </w:rPr>
                      </w:pPr>
                      <w:r>
                        <w:rPr>
                          <w:rFonts w:hint="eastAsia" w:ascii="方正楷体简体" w:hAnsi="方正楷体简体" w:eastAsia="方正楷体简体" w:cs="方正楷体简体"/>
                          <w:b/>
                          <w:bCs/>
                          <w:sz w:val="15"/>
                          <w:szCs w:val="15"/>
                          <w:lang w:val="en-US" w:eastAsia="zh-CN"/>
                        </w:rPr>
                        <w:t>单位：万元</w:t>
                      </w:r>
                    </w:p>
                  </w:txbxContent>
                </v:textbox>
              </v:rect>
            </w:pict>
          </mc:Fallback>
        </mc:AlternateContent>
      </w:r>
      <w:r>
        <w:rPr>
          <w:color w:val="000000" w:themeColor="text1"/>
          <w14:textFill>
            <w14:solidFill>
              <w14:schemeClr w14:val="tx1"/>
            </w14:solidFill>
          </w14:textFill>
        </w:rPr>
        <w:drawing>
          <wp:inline distT="0" distB="0" distL="114300" distR="114300">
            <wp:extent cx="5673725" cy="5909945"/>
            <wp:effectExtent l="4445" t="4445" r="17780" b="10160"/>
            <wp:docPr id="17769" name="图表 17768" descr="7b0a202020202263686172745265734964223a2022383733373033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8"/>
        <w:jc w:val="center"/>
        <w:rPr>
          <w:rFonts w:hint="eastAsia" w:ascii="方正楷体简体" w:hAnsi="方正楷体简体" w:eastAsia="方正楷体简体" w:cs="方正楷体简体"/>
          <w:b/>
          <w:bCs/>
          <w:color w:val="000000" w:themeColor="text1"/>
          <w:sz w:val="24"/>
          <w:szCs w:val="22"/>
          <w:lang w:val="en-US" w:eastAsia="zh-CN"/>
          <w14:textFill>
            <w14:solidFill>
              <w14:schemeClr w14:val="tx1"/>
            </w14:solidFill>
          </w14:textFill>
        </w:rPr>
      </w:pPr>
      <w:r>
        <w:rPr>
          <w:rFonts w:hint="eastAsia" w:ascii="方正楷体简体" w:hAnsi="方正楷体简体" w:eastAsia="方正楷体简体" w:cs="方正楷体简体"/>
          <w:b/>
          <w:bCs/>
          <w:color w:val="000000" w:themeColor="text1"/>
          <w:sz w:val="24"/>
          <w:szCs w:val="22"/>
          <w:lang w:val="en-US" w:eastAsia="zh-CN"/>
          <w14:textFill>
            <w14:solidFill>
              <w14:schemeClr w14:val="tx1"/>
            </w14:solidFill>
          </w14:textFill>
        </w:rPr>
        <w:t>图3-2 “十四五”期间国土绿化计划投资金额</w:t>
      </w:r>
    </w:p>
    <w:p>
      <w:pPr>
        <w:rPr>
          <w:rFonts w:hint="eastAsia"/>
          <w:color w:val="000000" w:themeColor="text1"/>
          <w:lang w:val="en-US" w:eastAsia="zh-CN"/>
          <w14:textFill>
            <w14:solidFill>
              <w14:schemeClr w14:val="tx1"/>
            </w14:solidFill>
          </w14:textFill>
        </w:rPr>
      </w:pPr>
    </w:p>
    <w:tbl>
      <w:tblPr>
        <w:tblStyle w:val="14"/>
        <w:tblW w:w="9071" w:type="dxa"/>
        <w:jc w:val="center"/>
        <w:tblInd w:w="0" w:type="dxa"/>
        <w:shd w:val="clear" w:color="auto" w:fill="auto"/>
        <w:tblLayout w:type="fixed"/>
        <w:tblCellMar>
          <w:top w:w="0" w:type="dxa"/>
          <w:left w:w="108" w:type="dxa"/>
          <w:bottom w:w="0" w:type="dxa"/>
          <w:right w:w="108" w:type="dxa"/>
        </w:tblCellMar>
      </w:tblPr>
      <w:tblGrid>
        <w:gridCol w:w="9064"/>
        <w:gridCol w:w="7"/>
      </w:tblGrid>
      <w:tr>
        <w:tblPrEx>
          <w:shd w:val="clear" w:color="auto" w:fill="auto"/>
          <w:tblLayout w:type="fixed"/>
          <w:tblCellMar>
            <w:top w:w="0" w:type="dxa"/>
            <w:left w:w="108" w:type="dxa"/>
            <w:bottom w:w="0" w:type="dxa"/>
            <w:right w:w="108" w:type="dxa"/>
          </w:tblCellMar>
        </w:tblPrEx>
        <w:trPr>
          <w:trHeight w:val="283" w:hRule="atLeast"/>
          <w:jc w:val="center"/>
        </w:trPr>
        <w:tc>
          <w:tcPr>
            <w:tcW w:w="9071" w:type="dxa"/>
            <w:gridSpan w:val="2"/>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center"/>
              <w:rPr>
                <w:rFonts w:hint="eastAsia" w:ascii="方正楷体简体" w:hAnsi="方正楷体简体" w:eastAsia="方正楷体简体" w:cs="方正楷体简体"/>
                <w:b/>
                <w:bCs/>
                <w:i w:val="0"/>
                <w:iCs w:val="0"/>
                <w:color w:val="000000" w:themeColor="text1"/>
                <w:sz w:val="21"/>
                <w:szCs w:val="21"/>
                <w:u w:val="none"/>
                <w14:textFill>
                  <w14:solidFill>
                    <w14:schemeClr w14:val="tx1"/>
                  </w14:solidFill>
                </w14:textFill>
              </w:rPr>
            </w:pPr>
            <w:r>
              <w:rPr>
                <w:rFonts w:hint="eastAsia" w:ascii="方正楷体简体" w:hAnsi="方正楷体简体" w:eastAsia="方正楷体简体" w:cs="方正楷体简体"/>
                <w:b/>
                <w:bCs/>
                <w:color w:val="000000" w:themeColor="text1"/>
                <w:sz w:val="24"/>
                <w:szCs w:val="24"/>
                <w14:textFill>
                  <w14:solidFill>
                    <w14:schemeClr w14:val="tx1"/>
                  </w14:solidFill>
                </w14:textFill>
              </w:rPr>
              <w:t>专栏3-1：国土绿化工程</w:t>
            </w:r>
          </w:p>
        </w:tc>
      </w:tr>
      <w:tr>
        <w:tblPrEx>
          <w:shd w:val="clear" w:color="auto" w:fill="auto"/>
          <w:tblLayout w:type="fixed"/>
          <w:tblCellMar>
            <w:top w:w="0" w:type="dxa"/>
            <w:left w:w="108" w:type="dxa"/>
            <w:bottom w:w="0" w:type="dxa"/>
            <w:right w:w="108" w:type="dxa"/>
          </w:tblCellMar>
        </w:tblPrEx>
        <w:trPr>
          <w:gridAfter w:val="1"/>
          <w:wAfter w:w="7" w:type="dxa"/>
          <w:trHeight w:val="651" w:hRule="atLeast"/>
          <w:jc w:val="center"/>
        </w:trPr>
        <w:tc>
          <w:tcPr>
            <w:tcW w:w="9064" w:type="dxa"/>
            <w:tcBorders>
              <w:top w:val="single" w:color="auto" w:sz="4" w:space="0"/>
              <w:left w:val="single" w:color="000000" w:sz="4" w:space="0"/>
              <w:bottom w:val="single" w:color="auto" w:sz="4" w:space="0"/>
              <w:right w:val="single" w:color="auto" w:sz="4" w:space="0"/>
            </w:tcBorders>
            <w:shd w:val="clear" w:color="auto" w:fill="auto"/>
            <w:vAlign w:val="center"/>
          </w:tcPr>
          <w:p>
            <w:pPr>
              <w:pStyle w:val="8"/>
              <w:numPr>
                <w:ilvl w:val="0"/>
                <w:numId w:val="3"/>
              </w:numPr>
              <w:ind w:left="0" w:leftChars="0" w:firstLine="0" w:firstLineChars="0"/>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长江经济带金沙江流域元谋段重点生态区域生态环境修复与保护建设工程：</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实施人工造林、退化修复补造、桉树替代种植、经济林种植、封山育林、森林抚育等重点工程，预计绿化面积23441.5公顷，湿地保护规划3032.6公顷，乡村道路绿化37.358公里，美丽乡村绿化1697.6公顷，苗圃基地建设17.0公顷，建设引水工程25.2公里。</w:t>
            </w:r>
          </w:p>
          <w:p>
            <w:pPr>
              <w:pStyle w:val="8"/>
              <w:numPr>
                <w:ilvl w:val="0"/>
                <w:numId w:val="3"/>
              </w:numPr>
              <w:ind w:left="0" w:leftChars="0" w:firstLine="0" w:firstLineChars="0"/>
              <w:rPr>
                <w:rFonts w:hint="default"/>
                <w:color w:val="000000" w:themeColor="text1"/>
                <w:sz w:val="24"/>
                <w:szCs w:val="24"/>
                <w:lang w:val="en-US" w:eastAsia="zh-CN"/>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元谋县金沙江干热河谷生态修复与保护工程项目：</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进行石漠化治理，退化防护林修复1.5万亩，新造林6.6万亩，发展生态旅游植被恢复与综合治理工程。</w:t>
            </w:r>
          </w:p>
          <w:p>
            <w:pPr>
              <w:pStyle w:val="8"/>
              <w:numPr>
                <w:ilvl w:val="0"/>
                <w:numId w:val="3"/>
              </w:numPr>
              <w:ind w:left="0" w:leftChars="0" w:firstLine="0" w:firstLineChars="0"/>
              <w:rPr>
                <w:rFonts w:hint="default"/>
                <w:color w:val="000000" w:themeColor="text1"/>
                <w:sz w:val="24"/>
                <w:szCs w:val="24"/>
                <w:lang w:val="en-US" w:eastAsia="zh-CN"/>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元谋县低产林提质改造：</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人工林低效林提质增效建设10万亩。</w:t>
            </w:r>
          </w:p>
          <w:p>
            <w:pPr>
              <w:pStyle w:val="8"/>
              <w:numPr>
                <w:ilvl w:val="0"/>
                <w:numId w:val="3"/>
              </w:numPr>
              <w:ind w:left="0" w:leftChars="0" w:firstLine="0" w:firstLineChars="0"/>
              <w:rPr>
                <w:rFonts w:hint="default"/>
                <w:color w:val="000000" w:themeColor="text1"/>
                <w:sz w:val="24"/>
                <w:szCs w:val="24"/>
                <w:lang w:val="en-US" w:eastAsia="zh-CN"/>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元谋县新一轮退耕还林工程：</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金沙江重要水源地15度以上及生态脆弱陡坡地退耕还林造林0.5万亩，中央补助造林资金，自筹管网配套、林木抚育资金。</w:t>
            </w:r>
          </w:p>
          <w:p>
            <w:pPr>
              <w:pStyle w:val="8"/>
              <w:numPr>
                <w:ilvl w:val="0"/>
                <w:numId w:val="3"/>
              </w:numPr>
              <w:ind w:left="0" w:leftChars="0" w:firstLine="0" w:firstLineChars="0"/>
              <w:rPr>
                <w:rFonts w:hint="default"/>
                <w:color w:val="000000" w:themeColor="text1"/>
                <w:sz w:val="24"/>
                <w:szCs w:val="24"/>
                <w:lang w:val="en-US" w:eastAsia="zh-CN"/>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元谋县陡坡地生态治理项目：</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近城面山、G5京昆调速公路陡坡地生态治理0.5万亩。省级财政补助造林资金，森林扶育资金，自筹管网配套、林木抚育资金。</w:t>
            </w:r>
          </w:p>
          <w:p>
            <w:pPr>
              <w:pStyle w:val="8"/>
              <w:numPr>
                <w:ilvl w:val="0"/>
                <w:numId w:val="3"/>
              </w:numPr>
              <w:ind w:left="0" w:leftChars="0" w:firstLine="0" w:firstLineChars="0"/>
              <w:rPr>
                <w:rFonts w:hint="default"/>
                <w:color w:val="000000" w:themeColor="text1"/>
                <w:sz w:val="24"/>
                <w:szCs w:val="24"/>
                <w:lang w:val="en-US" w:eastAsia="zh-CN"/>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元谋县森林草原资源培育工程：</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防护林体系建设，包含人工造林1万亩，退化林修复1.5万亩，，退耕还林还草0.5万亩，天然林资源保护人工造林1万亩。</w:t>
            </w:r>
          </w:p>
          <w:p>
            <w:pPr>
              <w:pStyle w:val="8"/>
              <w:numPr>
                <w:ilvl w:val="0"/>
                <w:numId w:val="3"/>
              </w:numPr>
              <w:ind w:left="0" w:leftChars="0" w:firstLine="0" w:firstLineChars="0"/>
              <w:rPr>
                <w:rFonts w:hint="default"/>
                <w:color w:val="000000" w:themeColor="text1"/>
                <w:sz w:val="24"/>
                <w:szCs w:val="24"/>
                <w:lang w:val="en-US" w:eastAsia="zh-CN"/>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元谋县重点区域生态保护和修复工程：</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开展石漠化综合治理工程。石漠化林草植被修复建设1.5万亩，石漠化治理1万亩，生态产业发展与扶贫成果巩固，发展经济林果2万亩。</w:t>
            </w:r>
          </w:p>
          <w:p>
            <w:pPr>
              <w:pStyle w:val="8"/>
              <w:numPr>
                <w:ilvl w:val="0"/>
                <w:numId w:val="3"/>
              </w:numPr>
              <w:ind w:left="0" w:leftChars="0" w:firstLine="0" w:firstLineChars="0"/>
              <w:rPr>
                <w:rFonts w:hint="default"/>
                <w:color w:val="000000" w:themeColor="text1"/>
                <w:sz w:val="24"/>
                <w:szCs w:val="24"/>
                <w:lang w:val="en-US" w:eastAsia="zh-CN"/>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元谋县金沙江流域生态修复林草种苗基地建设工程项目：</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新建金沙江流域生态修复林草种苗基地700亩，其中繁殖圃300亩、种质资源收集区200亩、种子园200亩。依靠现代化技术打造智能化管理的种苗基地：1.建立智能化的苗木大棚，可以直接通过主电脑控制基地的大棚内的水喷设备来精细调节温度湿度、2.通过传感器实时传回主电脑，控制最适宜的育苗环境、3.通过</w:t>
            </w:r>
            <w:r>
              <w:rPr>
                <w:rFonts w:hint="eastAsia" w:ascii="方正楷体简体" w:hAnsi="方正楷体简体" w:eastAsia="方正楷体简体" w:cs="方正楷体简体"/>
                <w:i w:val="0"/>
                <w:iCs w:val="0"/>
                <w:color w:val="000000" w:themeColor="text1"/>
                <w:kern w:val="0"/>
                <w:sz w:val="24"/>
                <w:szCs w:val="24"/>
                <w:highlight w:val="none"/>
                <w:u w:val="none"/>
                <w:lang w:val="en-US" w:eastAsia="zh-CN" w:bidi="ar"/>
                <w14:textFill>
                  <w14:solidFill>
                    <w14:schemeClr w14:val="tx1"/>
                  </w14:solidFill>
                </w14:textFill>
              </w:rPr>
              <w:t>土壤改良</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组织培养等多种培育方式进行苗木培育。制作林草种苗普及推广的APP，普及推广金沙江流域生态修复项目，并提供苗木草种供项目使用。利用微信公众号及小程序制作元谋县金沙江流域生态修复林草种苗基地配套义务植树项目，让全国各地的群众参与进来，增加元谋县金沙江流域的荒山绿化，聘请团队制作公众号及小程序并运营。</w:t>
            </w:r>
          </w:p>
          <w:p>
            <w:pPr>
              <w:pStyle w:val="8"/>
              <w:numPr>
                <w:ilvl w:val="0"/>
                <w:numId w:val="3"/>
              </w:numPr>
              <w:ind w:left="0" w:leftChars="0" w:firstLine="0" w:firstLineChars="0"/>
              <w:rPr>
                <w:rFonts w:hint="default"/>
                <w:color w:val="000000" w:themeColor="text1"/>
                <w:sz w:val="24"/>
                <w:szCs w:val="24"/>
                <w:lang w:val="en-US" w:eastAsia="zh-CN"/>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元谋县长江经济带干流绿色生态廊道质量提升工程：</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总规模13134.38公顷，其中森林质量提升7511.14公顷，移民搬迁废弃村庄覆绿6.9公顷，滑坡体治理覆绿392.25公顷，景观美化1390.82公顷，主要湿地修复3616.15公顷。</w:t>
            </w:r>
          </w:p>
          <w:p>
            <w:pPr>
              <w:pStyle w:val="8"/>
              <w:numPr>
                <w:ilvl w:val="0"/>
                <w:numId w:val="3"/>
              </w:numPr>
              <w:ind w:left="0" w:leftChars="0" w:firstLine="0" w:firstLineChars="0"/>
              <w:rPr>
                <w:rFonts w:hint="default"/>
                <w:color w:val="000000" w:themeColor="text1"/>
                <w:sz w:val="24"/>
                <w:szCs w:val="24"/>
                <w:lang w:val="en-US" w:eastAsia="zh-CN"/>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元谋县2022年生态保护和修复项目：</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实施人工造林1.5万亩，封山育林4万亩，退化林修复3万亩。</w:t>
            </w:r>
          </w:p>
          <w:p>
            <w:pPr>
              <w:pStyle w:val="8"/>
              <w:numPr>
                <w:ilvl w:val="0"/>
                <w:numId w:val="3"/>
              </w:numPr>
              <w:ind w:left="0" w:leftChars="0" w:firstLine="0" w:firstLineChars="0"/>
              <w:rPr>
                <w:rFonts w:hint="default"/>
                <w:color w:val="000000" w:themeColor="text1"/>
                <w:sz w:val="24"/>
                <w:szCs w:val="24"/>
                <w:lang w:val="en-US" w:eastAsia="zh-CN"/>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元谋县2021年横断山区水源涵养与生物多样性保护项目：</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实施人工造乔木林0.6万亩，封山育林2万亩，退化林修复0.25万亩。</w:t>
            </w:r>
          </w:p>
          <w:p>
            <w:pPr>
              <w:pStyle w:val="8"/>
              <w:numPr>
                <w:ilvl w:val="0"/>
                <w:numId w:val="3"/>
              </w:numPr>
              <w:ind w:left="0" w:leftChars="0" w:firstLine="0" w:firstLineChars="0"/>
              <w:rPr>
                <w:rFonts w:hint="default"/>
                <w:color w:val="000000" w:themeColor="text1"/>
                <w:sz w:val="24"/>
                <w:szCs w:val="24"/>
                <w:lang w:val="en-US" w:eastAsia="zh-CN"/>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元谋县“互联网+全民义务植树”项目：</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利用“互联网+全民义务植树”网站开展的义务植树网络募捐项目。利用五年时间，通过网络募捐苗木和绿化资金的方式，推进元谋县乡村绿化美化建设，通过社会捐资、专业队伍绿化造林、主管部门监督管理，实现义务植树专业化、高效化，十四五期间预计完成义务植树5万株。</w:t>
            </w:r>
          </w:p>
          <w:p>
            <w:pPr>
              <w:pStyle w:val="8"/>
              <w:numPr>
                <w:ilvl w:val="0"/>
                <w:numId w:val="3"/>
              </w:numPr>
              <w:ind w:left="0" w:leftChars="0" w:firstLine="0" w:firstLineChars="0"/>
              <w:rPr>
                <w:rFonts w:hint="default"/>
                <w:color w:val="000000" w:themeColor="text1"/>
                <w:sz w:val="24"/>
                <w:szCs w:val="24"/>
                <w:lang w:val="en-US" w:eastAsia="zh-CN"/>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元谋县天然林保护工程中长期建设项目：</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森林生态效益补偿每年100.5万亩，森林管护每年150万亩，森林抚育3万亩。</w:t>
            </w:r>
          </w:p>
          <w:p>
            <w:pPr>
              <w:pStyle w:val="8"/>
              <w:numPr>
                <w:ilvl w:val="0"/>
                <w:numId w:val="3"/>
              </w:numPr>
              <w:ind w:left="0" w:leftChars="0" w:firstLine="0" w:firstLineChars="0"/>
              <w:rPr>
                <w:rFonts w:hint="default"/>
                <w:color w:val="000000" w:themeColor="text1"/>
                <w:sz w:val="24"/>
                <w:szCs w:val="24"/>
                <w:lang w:val="en-US" w:eastAsia="zh-CN"/>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元谋县石漠化生态治理造林项目：</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在元马镇县城西面山，开展石漠化生态治理区造林开垦整地2000亩，开展石漠化治理区造林种植沟（塘）客土、施肥和苗木定植2000亩，开展石漠化治理区造林配水工程2000亩，开展石漠化治理区造林5年抚育管理2000亩。</w:t>
            </w:r>
          </w:p>
          <w:p>
            <w:pPr>
              <w:pStyle w:val="8"/>
              <w:numPr>
                <w:ilvl w:val="0"/>
                <w:numId w:val="3"/>
              </w:numPr>
              <w:ind w:left="0" w:leftChars="0" w:firstLine="0" w:firstLineChars="0"/>
              <w:rPr>
                <w:rFonts w:hint="default"/>
                <w:color w:val="000000" w:themeColor="text1"/>
                <w:sz w:val="24"/>
                <w:szCs w:val="24"/>
                <w:lang w:val="en-US" w:eastAsia="zh-CN"/>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长江经济带金沙江流域元谋段金沙江干流面山生态修复工程建设项目:</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金沙江干流元谋段49.2km两岸面山可视范围生态修复89287.4亩（其中包含金沙江干流与其支流龙川江交汇地江边乡金沙湖东西两岸面山核心区域范围生态修复19931.3亩）。引水灌溉工程主要包括提水工程、给水工程、高位蓄水池工程和配水灌溉工程。</w:t>
            </w:r>
          </w:p>
          <w:p>
            <w:pPr>
              <w:pStyle w:val="8"/>
              <w:numPr>
                <w:ilvl w:val="0"/>
                <w:numId w:val="3"/>
              </w:numPr>
              <w:ind w:left="0" w:leftChars="0" w:firstLine="0" w:firstLineChars="0"/>
              <w:rPr>
                <w:rFonts w:hint="default"/>
                <w:color w:val="000000" w:themeColor="text1"/>
                <w:sz w:val="24"/>
                <w:szCs w:val="24"/>
                <w:lang w:val="en-US" w:eastAsia="zh-CN"/>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元谋县</w:t>
            </w:r>
            <w:r>
              <w:rPr>
                <w:rFonts w:hint="eastAsia" w:ascii="方正楷体简体" w:hAnsi="方正楷体简体" w:eastAsia="方正楷体简体" w:cs="方正楷体简体"/>
                <w:b/>
                <w:bCs/>
                <w:i w:val="0"/>
                <w:iCs w:val="0"/>
                <w:strike w:val="0"/>
                <w:dstrike w:val="0"/>
                <w:color w:val="000000" w:themeColor="text1"/>
                <w:kern w:val="0"/>
                <w:sz w:val="24"/>
                <w:szCs w:val="24"/>
                <w:highlight w:val="none"/>
                <w:u w:val="none"/>
                <w:lang w:val="en-US" w:eastAsia="zh-CN" w:bidi="ar"/>
                <w14:textFill>
                  <w14:solidFill>
                    <w14:schemeClr w14:val="tx1"/>
                  </w14:solidFill>
                </w14:textFill>
              </w:rPr>
              <w:t>森林抚育</w:t>
            </w:r>
            <w:r>
              <w:rPr>
                <w:rFonts w:hint="eastAsia" w:ascii="方正楷体简体" w:hAnsi="方正楷体简体" w:eastAsia="方正楷体简体" w:cs="方正楷体简体"/>
                <w:b/>
                <w:bCs/>
                <w:i w:val="0"/>
                <w:iCs w:val="0"/>
                <w:color w:val="000000" w:themeColor="text1"/>
                <w:kern w:val="0"/>
                <w:sz w:val="24"/>
                <w:szCs w:val="24"/>
                <w:highlight w:val="none"/>
                <w:u w:val="none"/>
                <w:lang w:val="en-US" w:eastAsia="zh-CN" w:bidi="ar"/>
                <w14:textFill>
                  <w14:solidFill>
                    <w14:schemeClr w14:val="tx1"/>
                  </w14:solidFill>
                </w14:textFill>
              </w:rPr>
              <w:t>项目：</w:t>
            </w:r>
            <w:r>
              <w:rPr>
                <w:rFonts w:hint="eastAsia" w:ascii="方正楷体简体" w:hAnsi="方正楷体简体" w:eastAsia="方正楷体简体" w:cs="方正楷体简体"/>
                <w:i w:val="0"/>
                <w:iCs w:val="0"/>
                <w:color w:val="000000" w:themeColor="text1"/>
                <w:kern w:val="0"/>
                <w:sz w:val="24"/>
                <w:szCs w:val="24"/>
                <w:highlight w:val="none"/>
                <w:u w:val="none"/>
                <w:lang w:val="en-US" w:eastAsia="zh-CN" w:bidi="ar"/>
                <w14:textFill>
                  <w14:solidFill>
                    <w14:schemeClr w14:val="tx1"/>
                  </w14:solidFill>
                </w14:textFill>
              </w:rPr>
              <w:t>在全县适宜地块实施森林抚育目</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10万亩。</w:t>
            </w:r>
          </w:p>
        </w:tc>
      </w:tr>
    </w:tbl>
    <w:p>
      <w:pPr>
        <w:pStyle w:val="5"/>
        <w:pageBreakBefore w:val="0"/>
        <w:widowControl w:val="0"/>
        <w:kinsoku/>
        <w:wordWrap/>
        <w:overflowPunct/>
        <w:topLinePunct w:val="0"/>
        <w:bidi w:val="0"/>
        <w:spacing w:line="600" w:lineRule="exact"/>
        <w:jc w:val="center"/>
        <w:textAlignment w:val="auto"/>
        <w:rPr>
          <w:rFonts w:hint="eastAsia" w:ascii="方正小标宋简体" w:hAnsi="方正小标宋简体" w:eastAsia="方正小标宋简体" w:cs="方正小标宋简体"/>
          <w:b w:val="0"/>
          <w:bCs w:val="0"/>
          <w:color w:val="000000" w:themeColor="text1"/>
          <w:sz w:val="36"/>
          <w:szCs w:val="36"/>
          <w:lang w:val="en-US" w:eastAsia="zh-CN"/>
          <w14:textFill>
            <w14:solidFill>
              <w14:schemeClr w14:val="tx1"/>
            </w14:solidFill>
          </w14:textFill>
        </w:rPr>
      </w:pPr>
      <w:bookmarkStart w:id="32" w:name="_Toc8778"/>
      <w:bookmarkStart w:id="33" w:name="_Toc11750"/>
      <w:bookmarkStart w:id="34" w:name="_Toc17295"/>
      <w:r>
        <w:rPr>
          <w:rFonts w:hint="eastAsia" w:ascii="方正小标宋简体" w:hAnsi="方正小标宋简体" w:eastAsia="方正小标宋简体" w:cs="方正小标宋简体"/>
          <w:b w:val="0"/>
          <w:bCs w:val="0"/>
          <w:color w:val="000000" w:themeColor="text1"/>
          <w:sz w:val="36"/>
          <w:szCs w:val="36"/>
          <w:lang w:val="en-US" w:eastAsia="zh-CN"/>
          <w14:textFill>
            <w14:solidFill>
              <w14:schemeClr w14:val="tx1"/>
            </w14:solidFill>
          </w14:textFill>
        </w:rPr>
        <w:t>第二节 加强林草资源监督管理</w:t>
      </w:r>
      <w:bookmarkEnd w:id="32"/>
      <w:bookmarkEnd w:id="33"/>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用严格的制度和严密的法治保护生态环境，全面推行林长制，强化监督管理，实施综合检测，开展成效评估。</w:t>
      </w:r>
    </w:p>
    <w:p>
      <w:pPr>
        <w:jc w:val="both"/>
        <w:rPr>
          <w:rFonts w:hint="eastAsia"/>
          <w:color w:val="000000" w:themeColor="text1"/>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4396105</wp:posOffset>
                </wp:positionH>
                <wp:positionV relativeFrom="paragraph">
                  <wp:posOffset>409575</wp:posOffset>
                </wp:positionV>
                <wp:extent cx="812800" cy="273050"/>
                <wp:effectExtent l="4445" t="4445" r="20955" b="8255"/>
                <wp:wrapNone/>
                <wp:docPr id="5" name="文本框 5"/>
                <wp:cNvGraphicFramePr/>
                <a:graphic xmlns:a="http://schemas.openxmlformats.org/drawingml/2006/main">
                  <a:graphicData uri="http://schemas.microsoft.com/office/word/2010/wordprocessingShape">
                    <wps:wsp>
                      <wps:cNvSpPr txBox="1"/>
                      <wps:spPr>
                        <a:xfrm>
                          <a:off x="0" y="0"/>
                          <a:ext cx="812800" cy="273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楷体简体" w:hAnsi="方正楷体简体" w:eastAsia="方正楷体简体" w:cs="方正楷体简体"/>
                                <w:b/>
                                <w:bCs/>
                                <w:lang w:val="en-US" w:eastAsia="zh-CN"/>
                              </w:rPr>
                            </w:pPr>
                            <w:r>
                              <w:rPr>
                                <w:rFonts w:hint="eastAsia" w:ascii="方正楷体简体" w:hAnsi="方正楷体简体" w:eastAsia="方正楷体简体" w:cs="方正楷体简体"/>
                                <w:b/>
                                <w:bCs/>
                                <w:lang w:val="en-US" w:eastAsia="zh-CN"/>
                              </w:rPr>
                              <w:t>单位：万元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6.15pt;margin-top:32.25pt;height:21.5pt;width:64pt;z-index:251666432;mso-width-relative:page;mso-height-relative:page;" fillcolor="#FFFFFF [3201]" filled="t" stroked="t" coordsize="21600,21600" o:gfxdata="UEsDBAoAAAAAAIdO4kAAAAAAAAAAAAAAAAAEAAAAZHJzL1BLAwQUAAAACACHTuJAQdq4/tYAAAAK&#10;AQAADwAAAGRycy9kb3ducmV2LnhtbE2PTU/DMAyG70j8h8iTuLFkLSujNJ0EEhLixtYLt6zx2mqJ&#10;UzXZOv495gQ3fzx6/bjaXr0TF5ziEEjDaqlAILXBDtRpaPZv9xsQMRmyxgVCDd8YYVvf3lSmtGGm&#10;T7zsUic4hGJpNPQpjaWUse3Rm7gMIxLvjmHyJnE7ddJOZuZw72SmVCG9GYgv9GbE1x7b0+7sNbwX&#10;L+kLG/th8ywPcyPb6eii1neLlXoGkfCa/mD41Wd1qNnpEM5ko3AaiqcsZ5SLhzUIBjaZ4sGBSfW4&#10;BllX8v8L9Q9QSwMEFAAAAAgAh07iQAugcJ89AgAAaAQAAA4AAABkcnMvZTJvRG9jLnhtbK1UzY7T&#10;MBC+I/EOlu80abfdLVXTVemqCKliV1oQZ8exWwvHY2y3SXkAeANOXLjzXH0Oxu7PFsoJkYMz45l8&#10;M/PNTMa3ba3JRjivwBS028kpEYZDpcyyoO/fzV8MKfGBmYppMKKgW+Hp7eT5s3FjR6IHK9CVcARB&#10;jB81tqCrEOwoyzxfiZr5Dlhh0CjB1Syg6pZZ5ViD6LXOenl+nTXgKuuAC+/x9m5vpJOEL6Xg4V5K&#10;LwLRBcXcQjpdOst4ZpMxGy0dsyvFD2mwf8iiZspg0BPUHQuMrJ26gKoVd+BBhg6HOgMpFRepBqym&#10;m/9RzeOKWZFqQXK8PdHk/x8sf7t5cERVBR1QYliNLdp9+7r7/nP34wsZRHoa60fo9WjRL7SvoMU2&#10;H+89XsaqW+nq+MZ6CNqR6O2JXNEGwvFy2O0Nc7RwNPVurvJBIj97+tg6H14LqEkUCuqwd4lStln4&#10;gImg69ElxvKgVTVXWifFLcuZdmTDsM/z9MQc8ZPf3LQhTUGvrzD2BUTEPkGUmvGPlwiIpw3CRk72&#10;tUcptGV7IKqEaos8OdgPmrd8rhB3wXx4YA4nCwnAbQn3eEgNmAwcJEpW4D7/7T76Y8PRSkmDk1pQ&#10;/2nNnKBEvzE4Ci+7/X4c7aT0Bzc9VNy5pTy3mHU9AySpi3tpeRKjf9BHUTqoP+BSTWNUNDHDMXZB&#10;w1Gchf3+4FJyMZ0mJxxmy8LCPFoeoSO5BqbrAFKl1kWa9twc2MNxTu05rF7cl3M9eT39IC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HauP7WAAAACgEAAA8AAAAAAAAAAQAgAAAAIgAAAGRycy9k&#10;b3ducmV2LnhtbFBLAQIUABQAAAAIAIdO4kALoHCfPQIAAGgEAAAOAAAAAAAAAAEAIAAAACUBAABk&#10;cnMvZTJvRG9jLnhtbFBLBQYAAAAABgAGAFkBAADUBQAAAAA=&#10;">
                <v:fill on="t" focussize="0,0"/>
                <v:stroke weight="0.5pt" color="#000000 [3204]" joinstyle="round"/>
                <v:imagedata o:title=""/>
                <o:lock v:ext="edit" aspectratio="f"/>
                <v:textbox>
                  <w:txbxContent>
                    <w:p>
                      <w:pPr>
                        <w:rPr>
                          <w:rFonts w:hint="eastAsia" w:ascii="方正楷体简体" w:hAnsi="方正楷体简体" w:eastAsia="方正楷体简体" w:cs="方正楷体简体"/>
                          <w:b/>
                          <w:bCs/>
                          <w:lang w:val="en-US" w:eastAsia="zh-CN"/>
                        </w:rPr>
                      </w:pPr>
                      <w:r>
                        <w:rPr>
                          <w:rFonts w:hint="eastAsia" w:ascii="方正楷体简体" w:hAnsi="方正楷体简体" w:eastAsia="方正楷体简体" w:cs="方正楷体简体"/>
                          <w:b/>
                          <w:bCs/>
                          <w:lang w:val="en-US" w:eastAsia="zh-CN"/>
                        </w:rPr>
                        <w:t>单位：万元</w:t>
                      </w:r>
                    </w:p>
                  </w:txbxContent>
                </v:textbox>
              </v:shape>
            </w:pict>
          </mc:Fallback>
        </mc:AlternateContent>
      </w:r>
      <w:r>
        <w:rPr>
          <w:color w:val="000000" w:themeColor="text1"/>
          <w14:textFill>
            <w14:solidFill>
              <w14:schemeClr w14:val="tx1"/>
            </w14:solidFill>
          </w14:textFill>
        </w:rPr>
        <w:drawing>
          <wp:inline distT="0" distB="0" distL="114300" distR="114300">
            <wp:extent cx="5673090" cy="2507615"/>
            <wp:effectExtent l="4445" t="4445" r="18415" b="21590"/>
            <wp:docPr id="18053" name="图表 18052" descr="7b0a202020202263686172745265734964223a2022383733373033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jc w:val="center"/>
        <w:rPr>
          <w:rFonts w:hint="eastAsia" w:ascii="方正楷体简体" w:hAnsi="方正楷体简体" w:eastAsia="方正楷体简体" w:cs="方正楷体简体"/>
          <w:b/>
          <w:bCs/>
          <w:color w:val="000000" w:themeColor="text1"/>
          <w:sz w:val="24"/>
          <w:szCs w:val="22"/>
          <w:lang w:val="en-US" w:eastAsia="zh-CN"/>
          <w14:textFill>
            <w14:solidFill>
              <w14:schemeClr w14:val="tx1"/>
            </w14:solidFill>
          </w14:textFill>
        </w:rPr>
      </w:pPr>
      <w:r>
        <w:rPr>
          <w:rFonts w:hint="eastAsia" w:ascii="方正楷体简体" w:hAnsi="方正楷体简体" w:eastAsia="方正楷体简体" w:cs="方正楷体简体"/>
          <w:b/>
          <w:bCs/>
          <w:color w:val="000000" w:themeColor="text1"/>
          <w:sz w:val="24"/>
          <w:szCs w:val="22"/>
          <w:lang w:val="en-US" w:eastAsia="zh-CN"/>
          <w14:textFill>
            <w14:solidFill>
              <w14:schemeClr w14:val="tx1"/>
            </w14:solidFill>
          </w14:textFill>
        </w:rPr>
        <w:t>图6-1  “十四五”林草资源监督管理计划项目投资金额</w:t>
      </w:r>
    </w:p>
    <w:p>
      <w:pPr>
        <w:pStyle w:val="6"/>
        <w:pageBreakBefore w:val="0"/>
        <w:widowControl w:val="0"/>
        <w:kinsoku/>
        <w:wordWrap/>
        <w:overflowPunct/>
        <w:topLinePunct w:val="0"/>
        <w:autoSpaceDE/>
        <w:autoSpaceDN/>
        <w:bidi w:val="0"/>
        <w:adjustRightInd/>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一、加强森林资源监督管理</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认真落实森林资源管理，建立健全森林经营规划和森林经营方案制度，坚持和完善分类经营，严格保护公益林，放活商品林经营，科学经营人工林。以国土空间规划为统领，编制新一轮林地保护利用规划，科学确定林地保有量，实行林地总量控制、定额管理和林地审核审批制度。落实林地保护利用规划，严格限制重点区域林地转为建设用地，确保林地保有量不减少。完善森林采伐限额、林木采伐许可制度，建立总量与强度双控的森林采伐管理机制，严格国有林采伐限额管理，稳妥推进集体林管理改革和服务。</w:t>
      </w:r>
    </w:p>
    <w:p>
      <w:pPr>
        <w:pStyle w:val="6"/>
        <w:pageBreakBefore w:val="0"/>
        <w:widowControl w:val="0"/>
        <w:kinsoku/>
        <w:wordWrap/>
        <w:overflowPunct/>
        <w:topLinePunct w:val="0"/>
        <w:autoSpaceDE/>
        <w:autoSpaceDN/>
        <w:bidi w:val="0"/>
        <w:adjustRightInd/>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二、加强草地资源监督管理</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仿宋_GB2312" w:hAnsi="仿宋_GB2312" w:eastAsia="仿宋_GB2312" w:cs="仿宋_GB2312"/>
          <w:b w:val="0"/>
          <w:bCs w:val="0"/>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lang w:val="en-US" w:eastAsia="zh-CN" w:bidi="ar"/>
          <w14:textFill>
            <w14:solidFill>
              <w14:schemeClr w14:val="tx1"/>
            </w14:solidFill>
          </w14:textFill>
        </w:rPr>
        <w:t>落实草地资源管理，全面掌握草地资源和权属等相关数据，为开展草地保护建设管理工作奠定基础。</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lang w:val="en-US" w:eastAsia="zh-CN" w:bidi="ar"/>
          <w14:textFill>
            <w14:solidFill>
              <w14:schemeClr w14:val="tx1"/>
            </w14:solidFill>
          </w14:textFill>
        </w:rPr>
        <w:t>及时掌握全县草地动态情况。定期开展固定监测点、常规监测点、“星空地”监测等，及时掌握草地质量、草种结构、草地增减等变化。</w:t>
      </w:r>
    </w:p>
    <w:p>
      <w:pPr>
        <w:pStyle w:val="6"/>
        <w:pageBreakBefore w:val="0"/>
        <w:widowControl w:val="0"/>
        <w:kinsoku/>
        <w:wordWrap/>
        <w:overflowPunct/>
        <w:topLinePunct w:val="0"/>
        <w:autoSpaceDE/>
        <w:autoSpaceDN/>
        <w:bidi w:val="0"/>
        <w:adjustRightInd/>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三、提升林草资源监督管理能力</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推进林草资源监督管理体系建设，完善林草机构建设，提高林草监测质量和信息化水平，加强林草科技支撑建设，加强林草资源普法宣传，形成全社会自觉保护林草资源的意识。</w:t>
      </w: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tbl>
      <w:tblPr>
        <w:tblStyle w:val="14"/>
        <w:tblW w:w="9071" w:type="dxa"/>
        <w:jc w:val="center"/>
        <w:tblInd w:w="0" w:type="dxa"/>
        <w:shd w:val="clear" w:color="auto" w:fill="auto"/>
        <w:tblLayout w:type="fixed"/>
        <w:tblCellMar>
          <w:top w:w="0" w:type="dxa"/>
          <w:left w:w="108" w:type="dxa"/>
          <w:bottom w:w="0" w:type="dxa"/>
          <w:right w:w="108" w:type="dxa"/>
        </w:tblCellMar>
      </w:tblPr>
      <w:tblGrid>
        <w:gridCol w:w="9064"/>
        <w:gridCol w:w="7"/>
      </w:tblGrid>
      <w:tr>
        <w:tblPrEx>
          <w:shd w:val="clear" w:color="auto" w:fill="auto"/>
          <w:tblLayout w:type="fixed"/>
          <w:tblCellMar>
            <w:top w:w="0" w:type="dxa"/>
            <w:left w:w="108" w:type="dxa"/>
            <w:bottom w:w="0" w:type="dxa"/>
            <w:right w:w="108" w:type="dxa"/>
          </w:tblCellMar>
        </w:tblPrEx>
        <w:trPr>
          <w:trHeight w:val="197" w:hRule="atLeast"/>
          <w:jc w:val="center"/>
        </w:trPr>
        <w:tc>
          <w:tcPr>
            <w:tcW w:w="9071" w:type="dxa"/>
            <w:gridSpan w:val="2"/>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方正楷体简体" w:hAnsi="方正楷体简体" w:eastAsia="方正楷体简体" w:cs="方正楷体简体"/>
                <w:b/>
                <w:bCs/>
                <w:i w:val="0"/>
                <w:iCs w:val="0"/>
                <w:color w:val="000000" w:themeColor="text1"/>
                <w:kern w:val="0"/>
                <w:sz w:val="21"/>
                <w:szCs w:val="21"/>
                <w:u w:val="none"/>
                <w:lang w:val="en-US" w:eastAsia="zh-CN" w:bidi="ar"/>
                <w14:textFill>
                  <w14:solidFill>
                    <w14:schemeClr w14:val="tx1"/>
                  </w14:solidFill>
                </w14:textFill>
              </w:rPr>
            </w:pPr>
            <w:r>
              <w:rPr>
                <w:rFonts w:hint="eastAsia" w:ascii="方正楷体简体" w:hAnsi="方正楷体简体" w:eastAsia="方正楷体简体" w:cs="方正楷体简体"/>
                <w:b/>
                <w:bCs/>
                <w:color w:val="000000" w:themeColor="text1"/>
                <w:sz w:val="24"/>
                <w:szCs w:val="24"/>
                <w14:textFill>
                  <w14:solidFill>
                    <w14:schemeClr w14:val="tx1"/>
                  </w14:solidFill>
                </w14:textFill>
              </w:rPr>
              <w:t>专栏</w:t>
            </w:r>
            <w:r>
              <w:rPr>
                <w:rFonts w:hint="eastAsia" w:ascii="方正楷体简体" w:hAnsi="方正楷体简体" w:eastAsia="方正楷体简体" w:cs="方正楷体简体"/>
                <w:b/>
                <w:bCs/>
                <w:color w:val="000000" w:themeColor="text1"/>
                <w:sz w:val="24"/>
                <w:szCs w:val="24"/>
                <w:lang w:val="en-US" w:eastAsia="zh-CN"/>
                <w14:textFill>
                  <w14:solidFill>
                    <w14:schemeClr w14:val="tx1"/>
                  </w14:solidFill>
                </w14:textFill>
              </w:rPr>
              <w:t>6</w:t>
            </w:r>
            <w:r>
              <w:rPr>
                <w:rFonts w:hint="eastAsia" w:ascii="方正楷体简体" w:hAnsi="方正楷体简体" w:eastAsia="方正楷体简体" w:cs="方正楷体简体"/>
                <w:b/>
                <w:bCs/>
                <w:color w:val="000000" w:themeColor="text1"/>
                <w:sz w:val="24"/>
                <w:szCs w:val="24"/>
                <w14:textFill>
                  <w14:solidFill>
                    <w14:schemeClr w14:val="tx1"/>
                  </w14:solidFill>
                </w14:textFill>
              </w:rPr>
              <w:t>-1：</w:t>
            </w:r>
            <w:r>
              <w:rPr>
                <w:rFonts w:hint="eastAsia" w:ascii="方正楷体简体" w:hAnsi="方正楷体简体" w:eastAsia="方正楷体简体" w:cs="方正楷体简体"/>
                <w:b/>
                <w:bCs/>
                <w:color w:val="000000" w:themeColor="text1"/>
                <w:sz w:val="24"/>
                <w:szCs w:val="24"/>
                <w:lang w:val="en-US" w:eastAsia="zh-CN"/>
                <w14:textFill>
                  <w14:solidFill>
                    <w14:schemeClr w14:val="tx1"/>
                  </w14:solidFill>
                </w14:textFill>
              </w:rPr>
              <w:t>林草资源监督管理</w:t>
            </w:r>
          </w:p>
        </w:tc>
      </w:tr>
      <w:tr>
        <w:tblPrEx>
          <w:shd w:val="clear" w:color="auto" w:fill="auto"/>
          <w:tblLayout w:type="fixed"/>
          <w:tblCellMar>
            <w:top w:w="0" w:type="dxa"/>
            <w:left w:w="108" w:type="dxa"/>
            <w:bottom w:w="0" w:type="dxa"/>
            <w:right w:w="108" w:type="dxa"/>
          </w:tblCellMar>
        </w:tblPrEx>
        <w:trPr>
          <w:gridAfter w:val="1"/>
          <w:wAfter w:w="7" w:type="dxa"/>
          <w:trHeight w:val="666" w:hRule="atLeast"/>
          <w:jc w:val="center"/>
        </w:trPr>
        <w:tc>
          <w:tcPr>
            <w:tcW w:w="906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numPr>
                <w:ilvl w:val="0"/>
                <w:numId w:val="4"/>
              </w:numPr>
              <w:suppressLineNumbers w:val="0"/>
              <w:jc w:val="left"/>
              <w:textAlignment w:val="cente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元谋县国有林场生态保护支撑体系建设项目：</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森林资源培育：人工造林3500亩，森林抚育2703亩，森林改扩建培育3600亩，封山育林10500亩；加强森林防火基础设施建设，如建立林火视频监控系统，护林员管理系统，保障灭火机、运兵车、水车等防火物资；森林病虫害防治及其基础设施建；国有林场基础设施建设:瞭望台升级改造，管护房升级改造；建立森林资源监测系统（含配套措施）。</w:t>
            </w:r>
          </w:p>
          <w:p>
            <w:pPr>
              <w:keepNext w:val="0"/>
              <w:keepLines w:val="0"/>
              <w:widowControl/>
              <w:numPr>
                <w:ilvl w:val="0"/>
                <w:numId w:val="4"/>
              </w:numPr>
              <w:suppressLineNumbers w:val="0"/>
              <w:jc w:val="left"/>
              <w:textAlignment w:val="center"/>
              <w:rPr>
                <w:rFonts w:hint="eastAsia" w:ascii="方正楷体简体" w:hAnsi="方正楷体简体" w:eastAsia="方正楷体简体" w:cs="方正楷体简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金沙江干热河谷元谋县草原资源调查及监测建设项目：</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一、掌握全县草原发展状况，规划建设草原资源调查及监测县级站1个，10乡镇及3个林场监测站点14个，每个监测站点功能包含草原地面监测、草原返青期及枯黄期监测、草原固定监测、草原常规监测、草原特征数据库调查监测、退化草原调查监测、家畜补饲情况调查及监测、草原监管及统计、草原综合指标调查和草原有害生物防治及生物多样性保护监测等业务。</w:t>
            </w:r>
          </w:p>
          <w:p>
            <w:pPr>
              <w:keepNext w:val="0"/>
              <w:keepLines w:val="0"/>
              <w:widowControl/>
              <w:numPr>
                <w:ilvl w:val="0"/>
                <w:numId w:val="4"/>
              </w:numPr>
              <w:suppressLineNumbers w:val="0"/>
              <w:jc w:val="left"/>
              <w:textAlignment w:val="center"/>
              <w:rPr>
                <w:rFonts w:hint="eastAsia" w:ascii="方正楷体简体" w:hAnsi="方正楷体简体" w:eastAsia="方正楷体简体" w:cs="方正楷体简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元谋县植物志及古树调查编撰及数据库、信息管理系统建设项目：</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委托相关科研机构开展元谋县植物资源，编撰“元谋植物志”并建立数据库和国家重点保护野生植物和古树信息管理系统，实现实时监管。</w:t>
            </w:r>
          </w:p>
          <w:p>
            <w:pPr>
              <w:keepNext w:val="0"/>
              <w:keepLines w:val="0"/>
              <w:widowControl/>
              <w:numPr>
                <w:ilvl w:val="0"/>
                <w:numId w:val="4"/>
              </w:numPr>
              <w:suppressLineNumbers w:val="0"/>
              <w:jc w:val="left"/>
              <w:textAlignment w:val="center"/>
              <w:rPr>
                <w:rFonts w:hint="eastAsia" w:ascii="方正楷体简体" w:hAnsi="方正楷体简体" w:eastAsia="方正楷体简体" w:cs="方正楷体简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古树名木保护管理项目：</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古树名木保护信息化、智能化建设；古树名木保护基础设施建设和管护工作；古树名木种质资源基因库建设，及古树名木种质资源科技推广、扩繁试验示范。</w:t>
            </w:r>
          </w:p>
          <w:p>
            <w:pPr>
              <w:keepNext w:val="0"/>
              <w:keepLines w:val="0"/>
              <w:widowControl/>
              <w:numPr>
                <w:ilvl w:val="0"/>
                <w:numId w:val="4"/>
              </w:numPr>
              <w:suppressLineNumbers w:val="0"/>
              <w:jc w:val="left"/>
              <w:textAlignment w:val="center"/>
              <w:rPr>
                <w:rFonts w:hint="eastAsia" w:ascii="方正楷体简体" w:hAnsi="方正楷体简体" w:eastAsia="方正楷体简体" w:cs="方正楷体简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元谋县“十四五”林草综合行政执法体系建设项目：</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进行现有办公楼修缮及标准化询问室建设，充足办案系统装备，加大办公设备执法体系保障，组织宣传培训。</w:t>
            </w:r>
          </w:p>
        </w:tc>
      </w:tr>
    </w:tbl>
    <w:p>
      <w:pPr>
        <w:pStyle w:val="5"/>
        <w:keepNext/>
        <w:keepLines/>
        <w:pageBreakBefore w:val="0"/>
        <w:widowControl/>
        <w:kinsoku/>
        <w:wordWrap/>
        <w:overflowPunct/>
        <w:topLinePunct w:val="0"/>
        <w:autoSpaceDE/>
        <w:autoSpaceDN/>
        <w:bidi w:val="0"/>
        <w:adjustRightInd/>
        <w:snapToGrid/>
        <w:spacing w:before="194" w:beforeLines="50" w:after="194" w:afterLines="50" w:line="600" w:lineRule="exact"/>
        <w:jc w:val="center"/>
        <w:textAlignment w:val="auto"/>
        <w:outlineLvl w:val="9"/>
        <w:rPr>
          <w:rFonts w:hint="eastAsia" w:asciiTheme="majorEastAsia" w:hAnsiTheme="majorEastAsia" w:eastAsiaTheme="majorEastAsia" w:cstheme="majorEastAsia"/>
          <w:b/>
          <w:bCs/>
          <w:color w:val="000000" w:themeColor="text1"/>
          <w:kern w:val="0"/>
          <w:sz w:val="36"/>
          <w:szCs w:val="36"/>
          <w:lang w:val="en-US" w:eastAsia="zh-CN" w:bidi="ar-SA"/>
          <w14:textFill>
            <w14:solidFill>
              <w14:schemeClr w14:val="tx1"/>
            </w14:solidFill>
          </w14:textFill>
        </w:rPr>
      </w:pPr>
    </w:p>
    <w:p>
      <w:pPr>
        <w:pStyle w:val="5"/>
        <w:keepNext/>
        <w:keepLines/>
        <w:pageBreakBefore w:val="0"/>
        <w:widowControl/>
        <w:kinsoku/>
        <w:wordWrap/>
        <w:overflowPunct/>
        <w:topLinePunct w:val="0"/>
        <w:autoSpaceDE/>
        <w:autoSpaceDN/>
        <w:bidi w:val="0"/>
        <w:adjustRightInd/>
        <w:snapToGrid/>
        <w:spacing w:before="194" w:beforeLines="50" w:after="194" w:afterLines="50" w:line="600" w:lineRule="exact"/>
        <w:jc w:val="center"/>
        <w:textAlignment w:val="auto"/>
        <w:rPr>
          <w:rFonts w:hint="eastAsia" w:ascii="方正小标宋简体" w:hAnsi="方正小标宋简体" w:eastAsia="方正小标宋简体" w:cs="方正小标宋简体"/>
          <w:b w:val="0"/>
          <w:bCs w:val="0"/>
          <w:color w:val="000000" w:themeColor="text1"/>
          <w:kern w:val="0"/>
          <w:sz w:val="36"/>
          <w:szCs w:val="36"/>
          <w:lang w:val="en-US" w:eastAsia="zh-CN" w:bidi="ar-SA"/>
          <w14:textFill>
            <w14:solidFill>
              <w14:schemeClr w14:val="tx1"/>
            </w14:solidFill>
          </w14:textFill>
        </w:rPr>
      </w:pPr>
      <w:bookmarkStart w:id="35" w:name="_Toc7356"/>
      <w:r>
        <w:rPr>
          <w:rFonts w:hint="eastAsia" w:ascii="方正小标宋简体" w:hAnsi="方正小标宋简体" w:eastAsia="方正小标宋简体" w:cs="方正小标宋简体"/>
          <w:b w:val="0"/>
          <w:bCs w:val="0"/>
          <w:color w:val="000000" w:themeColor="text1"/>
          <w:kern w:val="0"/>
          <w:sz w:val="36"/>
          <w:szCs w:val="36"/>
          <w:lang w:val="en-US" w:eastAsia="zh-CN" w:bidi="ar-SA"/>
          <w14:textFill>
            <w14:solidFill>
              <w14:schemeClr w14:val="tx1"/>
            </w14:solidFill>
          </w14:textFill>
        </w:rPr>
        <w:t>第三节 加强草地保护修复</w:t>
      </w:r>
      <w:bookmarkEnd w:id="34"/>
      <w:bookmarkEnd w:id="35"/>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仿宋_GB2312" w:hAnsi="仿宋_GB2312" w:eastAsia="仿宋_GB2312" w:cs="仿宋_GB2312"/>
          <w:strike w:val="0"/>
          <w:color w:val="000000" w:themeColor="text1"/>
          <w:kern w:val="0"/>
          <w:sz w:val="32"/>
          <w:szCs w:val="32"/>
          <w:highlight w:val="none"/>
          <w:lang w:val="en-US" w:eastAsia="zh-CN" w:bidi="ar"/>
          <w14:textFill>
            <w14:solidFill>
              <w14:schemeClr w14:val="tx1"/>
            </w14:solidFill>
          </w14:textFill>
        </w:rPr>
      </w:pPr>
      <w:r>
        <w:rPr>
          <w:rFonts w:hint="eastAsia" w:ascii="仿宋_GB2312" w:hAnsi="仿宋_GB2312" w:eastAsia="仿宋_GB2312" w:cs="仿宋_GB2312"/>
          <w:strike w:val="0"/>
          <w:dstrike w:val="0"/>
          <w:color w:val="000000" w:themeColor="text1"/>
          <w:kern w:val="0"/>
          <w:sz w:val="32"/>
          <w:szCs w:val="32"/>
          <w:highlight w:val="none"/>
          <w:lang w:val="en-US" w:eastAsia="zh-CN" w:bidi="ar"/>
          <w14:textFill>
            <w14:solidFill>
              <w14:schemeClr w14:val="tx1"/>
            </w14:solidFill>
          </w14:textFill>
        </w:rPr>
        <w:t>构建草原保护体系，加强草原生态修复，提高草原生态承载力，增强草原生态系统稳定性和服务功能。</w:t>
      </w:r>
    </w:p>
    <w:p>
      <w:pPr>
        <w:pStyle w:val="6"/>
        <w:pageBreakBefore w:val="0"/>
        <w:kinsoku/>
        <w:wordWrap/>
        <w:overflowPunct/>
        <w:topLinePunct w:val="0"/>
        <w:autoSpaceDE/>
        <w:autoSpaceDN/>
        <w:bidi w:val="0"/>
        <w:adjustRightInd/>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一、森林草原资源动态管理</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建设全县森林草原资源基础数据库、生物多样性及重点物种监测系统软硬件建设、全县林草大数据中心建设等，实现全县森林草原资源动态管理。掌握全县森林草原动态发展现状，促进林草产业发展，规划建设资源监测县级站。每个监测站点功能包含森林草原地面日常监测、草原返青期及枯黄期监测、森林草原固定监测、常规监测、森林草原特征数据库调查监测、退化林退化草原调查监测、家畜补饲情况调查及监测、森林草原监管及统计、草原日常指标调查等。</w:t>
      </w:r>
    </w:p>
    <w:p>
      <w:pPr>
        <w:pStyle w:val="6"/>
        <w:pageBreakBefore w:val="0"/>
        <w:kinsoku/>
        <w:wordWrap/>
        <w:overflowPunct/>
        <w:topLinePunct w:val="0"/>
        <w:autoSpaceDE/>
        <w:autoSpaceDN/>
        <w:bidi w:val="0"/>
        <w:adjustRightInd/>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二、加强退化草地修复</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采取人工种草、草地改良、鼠虫病害防治等方式，对退化草地进行修复，对退化严重、质量下降、品种劣化的草地进行修复和改良，提升草地综合植被盖度，保持生态平衡。紧紧围绕“生态优先”的目标，结合不同地区的实际情况，根据高、中、低海拔和气候类型、草地类型差异，对元谋县不同地块进行草种试种，为项目选种提供坚实的种源基础。</w:t>
      </w:r>
    </w:p>
    <w:tbl>
      <w:tblPr>
        <w:tblStyle w:val="14"/>
        <w:tblW w:w="9071" w:type="dxa"/>
        <w:jc w:val="center"/>
        <w:tblInd w:w="0" w:type="dxa"/>
        <w:shd w:val="clear" w:color="auto" w:fill="auto"/>
        <w:tblLayout w:type="fixed"/>
        <w:tblCellMar>
          <w:top w:w="0" w:type="dxa"/>
          <w:left w:w="108" w:type="dxa"/>
          <w:bottom w:w="0" w:type="dxa"/>
          <w:right w:w="108" w:type="dxa"/>
        </w:tblCellMar>
      </w:tblPr>
      <w:tblGrid>
        <w:gridCol w:w="9071"/>
      </w:tblGrid>
      <w:tr>
        <w:tblPrEx>
          <w:shd w:val="clear" w:color="auto" w:fill="auto"/>
          <w:tblLayout w:type="fixed"/>
          <w:tblCellMar>
            <w:top w:w="0" w:type="dxa"/>
            <w:left w:w="108" w:type="dxa"/>
            <w:bottom w:w="0" w:type="dxa"/>
            <w:right w:w="108" w:type="dxa"/>
          </w:tblCellMar>
        </w:tblPrEx>
        <w:trPr>
          <w:trHeight w:val="442" w:hRule="atLeast"/>
          <w:jc w:val="center"/>
        </w:trPr>
        <w:tc>
          <w:tcPr>
            <w:tcW w:w="9071"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方正楷体简体" w:hAnsi="方正楷体简体" w:eastAsia="方正楷体简体" w:cs="方正楷体简体"/>
                <w:b/>
                <w:bCs/>
                <w:i w:val="0"/>
                <w:iCs w:val="0"/>
                <w:color w:val="000000" w:themeColor="text1"/>
                <w:kern w:val="0"/>
                <w:sz w:val="21"/>
                <w:szCs w:val="21"/>
                <w:u w:val="none"/>
                <w:lang w:val="en-US" w:eastAsia="zh-CN" w:bidi="ar"/>
                <w14:textFill>
                  <w14:solidFill>
                    <w14:schemeClr w14:val="tx1"/>
                  </w14:solidFill>
                </w14:textFill>
              </w:rPr>
            </w:pPr>
            <w:r>
              <w:rPr>
                <w:rFonts w:hint="eastAsia" w:ascii="方正楷体简体" w:hAnsi="方正楷体简体" w:eastAsia="方正楷体简体" w:cs="方正楷体简体"/>
                <w:b/>
                <w:bCs/>
                <w:color w:val="000000" w:themeColor="text1"/>
                <w:sz w:val="24"/>
                <w:szCs w:val="24"/>
                <w14:textFill>
                  <w14:solidFill>
                    <w14:schemeClr w14:val="tx1"/>
                  </w14:solidFill>
                </w14:textFill>
              </w:rPr>
              <w:t>专栏</w:t>
            </w:r>
            <w:r>
              <w:rPr>
                <w:rFonts w:hint="eastAsia" w:ascii="方正楷体简体" w:hAnsi="方正楷体简体" w:eastAsia="方正楷体简体" w:cs="方正楷体简体"/>
                <w:b/>
                <w:bCs/>
                <w:color w:val="000000" w:themeColor="text1"/>
                <w:sz w:val="24"/>
                <w:szCs w:val="24"/>
                <w:lang w:val="en-US" w:eastAsia="zh-CN"/>
                <w14:textFill>
                  <w14:solidFill>
                    <w14:schemeClr w14:val="tx1"/>
                  </w14:solidFill>
                </w14:textFill>
              </w:rPr>
              <w:t>3</w:t>
            </w:r>
            <w:r>
              <w:rPr>
                <w:rFonts w:hint="eastAsia" w:ascii="方正楷体简体" w:hAnsi="方正楷体简体" w:eastAsia="方正楷体简体" w:cs="方正楷体简体"/>
                <w:b/>
                <w:bCs/>
                <w:color w:val="000000" w:themeColor="text1"/>
                <w:sz w:val="24"/>
                <w:szCs w:val="24"/>
                <w14:textFill>
                  <w14:solidFill>
                    <w14:schemeClr w14:val="tx1"/>
                  </w14:solidFill>
                </w14:textFill>
              </w:rPr>
              <w:t>-</w:t>
            </w:r>
            <w:r>
              <w:rPr>
                <w:rFonts w:hint="eastAsia" w:ascii="方正楷体简体" w:hAnsi="方正楷体简体" w:eastAsia="方正楷体简体" w:cs="方正楷体简体"/>
                <w:b/>
                <w:bCs/>
                <w:color w:val="000000" w:themeColor="text1"/>
                <w:sz w:val="24"/>
                <w:szCs w:val="24"/>
                <w:lang w:val="en-US" w:eastAsia="zh-CN"/>
                <w14:textFill>
                  <w14:solidFill>
                    <w14:schemeClr w14:val="tx1"/>
                  </w14:solidFill>
                </w14:textFill>
              </w:rPr>
              <w:t>3</w:t>
            </w:r>
            <w:r>
              <w:rPr>
                <w:rFonts w:hint="eastAsia" w:ascii="方正楷体简体" w:hAnsi="方正楷体简体" w:eastAsia="方正楷体简体" w:cs="方正楷体简体"/>
                <w:b/>
                <w:bCs/>
                <w:color w:val="000000" w:themeColor="text1"/>
                <w:sz w:val="24"/>
                <w:szCs w:val="24"/>
                <w14:textFill>
                  <w14:solidFill>
                    <w14:schemeClr w14:val="tx1"/>
                  </w14:solidFill>
                </w14:textFill>
              </w:rPr>
              <w:t>：</w:t>
            </w:r>
            <w:r>
              <w:rPr>
                <w:rFonts w:hint="eastAsia" w:ascii="方正楷体简体" w:hAnsi="方正楷体简体" w:eastAsia="方正楷体简体" w:cs="方正楷体简体"/>
                <w:b/>
                <w:bCs/>
                <w:color w:val="000000" w:themeColor="text1"/>
                <w:sz w:val="24"/>
                <w:szCs w:val="24"/>
                <w:lang w:eastAsia="zh-CN"/>
                <w14:textFill>
                  <w14:solidFill>
                    <w14:schemeClr w14:val="tx1"/>
                  </w14:solidFill>
                </w14:textFill>
              </w:rPr>
              <w:t>草地</w:t>
            </w:r>
            <w:r>
              <w:rPr>
                <w:rFonts w:hint="default" w:ascii="方正楷体简体" w:hAnsi="方正楷体简体" w:eastAsia="方正楷体简体" w:cs="方正楷体简体"/>
                <w:b/>
                <w:bCs/>
                <w:color w:val="000000" w:themeColor="text1"/>
                <w:sz w:val="24"/>
                <w:szCs w:val="24"/>
                <w:lang w:eastAsia="zh-CN"/>
                <w14:textFill>
                  <w14:solidFill>
                    <w14:schemeClr w14:val="tx1"/>
                  </w14:solidFill>
                </w14:textFill>
              </w:rPr>
              <w:t>保护修复</w:t>
            </w:r>
            <w:r>
              <w:rPr>
                <w:rFonts w:hint="eastAsia" w:ascii="方正楷体简体" w:hAnsi="方正楷体简体" w:eastAsia="方正楷体简体" w:cs="方正楷体简体"/>
                <w:b/>
                <w:bCs/>
                <w:color w:val="000000" w:themeColor="text1"/>
                <w:sz w:val="24"/>
                <w:szCs w:val="24"/>
                <w:lang w:val="en-US" w:eastAsia="zh-CN"/>
                <w14:textFill>
                  <w14:solidFill>
                    <w14:schemeClr w14:val="tx1"/>
                  </w14:solidFill>
                </w14:textFill>
              </w:rPr>
              <w:t>建设</w:t>
            </w:r>
            <w:r>
              <w:rPr>
                <w:rFonts w:hint="eastAsia" w:ascii="方正楷体简体" w:hAnsi="方正楷体简体" w:eastAsia="方正楷体简体" w:cs="方正楷体简体"/>
                <w:b/>
                <w:bCs/>
                <w:color w:val="000000" w:themeColor="text1"/>
                <w:sz w:val="24"/>
                <w:szCs w:val="24"/>
                <w14:textFill>
                  <w14:solidFill>
                    <w14:schemeClr w14:val="tx1"/>
                  </w14:solidFill>
                </w14:textFill>
              </w:rPr>
              <w:t>工程</w:t>
            </w:r>
          </w:p>
        </w:tc>
      </w:tr>
      <w:tr>
        <w:tblPrEx>
          <w:shd w:val="clear" w:color="auto" w:fill="auto"/>
          <w:tblLayout w:type="fixed"/>
          <w:tblCellMar>
            <w:top w:w="0" w:type="dxa"/>
            <w:left w:w="108" w:type="dxa"/>
            <w:bottom w:w="0" w:type="dxa"/>
            <w:right w:w="108" w:type="dxa"/>
          </w:tblCellMar>
        </w:tblPrEx>
        <w:trPr>
          <w:trHeight w:val="442" w:hRule="atLeast"/>
          <w:jc w:val="center"/>
        </w:trPr>
        <w:tc>
          <w:tcPr>
            <w:tcW w:w="9071" w:type="dxa"/>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default" w:ascii="方正楷体简体" w:hAnsi="方正楷体简体" w:eastAsia="方正楷体简体" w:cs="方正楷体简体"/>
                <w:b/>
                <w:bCs/>
                <w:color w:val="000000" w:themeColor="text1"/>
                <w:sz w:val="24"/>
                <w:szCs w:val="24"/>
                <w:lang w:val="en-US"/>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元谋县森林草地监测信息化体系建设项目:</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一、建设全县森林草原资源基础数据库、生物多样性及重点物种监测系统软硬件建设、全县林草大数据中心建设等，实现全县森林草原资源动态管理；二、掌握全县森林草原动态发展现状，促进林草产业发展，规划建设资源监测县级站1个，10乡镇及3个林场监测站点13个。每个监测站点功能包含森林草原地面日常监测、草原返青期及枯黄期监测、森林草原固定监测、常规监测、森林草原特征数据库调查监测、退化林退化草原调查监测、家畜补饲情况调查及监测、森林草原监管及统计、草原日常指标调查等；三、预计投资规模:草原监测县级和乡级信息化管理体系建设及维护维修管理（信息化软件系统及设备）；四、建立健全完善的草原监测管理体系相关数据系统设施设备建设等；五、实施森林草原现地监测各项日常工作开展。</w:t>
            </w:r>
          </w:p>
        </w:tc>
      </w:tr>
    </w:tbl>
    <w:p>
      <w:pPr>
        <w:pStyle w:val="8"/>
        <w:ind w:left="0" w:leftChars="0" w:firstLine="0" w:firstLineChars="0"/>
        <w:rPr>
          <w:rFonts w:hint="default"/>
          <w:color w:val="000000" w:themeColor="text1"/>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snapToGrid/>
        <w:spacing w:before="194" w:beforeLines="50" w:after="194" w:afterLines="50" w:line="600" w:lineRule="exact"/>
        <w:jc w:val="center"/>
        <w:textAlignment w:val="auto"/>
        <w:rPr>
          <w:rFonts w:hint="eastAsia" w:ascii="方正小标宋简体" w:hAnsi="方正小标宋简体" w:eastAsia="方正小标宋简体" w:cs="方正小标宋简体"/>
          <w:b w:val="0"/>
          <w:bCs w:val="0"/>
          <w:color w:val="000000" w:themeColor="text1"/>
          <w:kern w:val="0"/>
          <w:sz w:val="36"/>
          <w:szCs w:val="36"/>
          <w:lang w:val="en-US" w:eastAsia="zh-CN" w:bidi="ar-SA"/>
          <w14:textFill>
            <w14:solidFill>
              <w14:schemeClr w14:val="tx1"/>
            </w14:solidFill>
          </w14:textFill>
        </w:rPr>
      </w:pPr>
      <w:bookmarkStart w:id="36" w:name="_Toc8727"/>
      <w:bookmarkStart w:id="37" w:name="_Toc3516"/>
      <w:r>
        <w:rPr>
          <w:rFonts w:hint="eastAsia" w:ascii="方正小标宋简体" w:hAnsi="方正小标宋简体" w:eastAsia="方正小标宋简体" w:cs="方正小标宋简体"/>
          <w:b w:val="0"/>
          <w:bCs w:val="0"/>
          <w:color w:val="000000" w:themeColor="text1"/>
          <w:kern w:val="0"/>
          <w:sz w:val="36"/>
          <w:szCs w:val="36"/>
          <w:lang w:val="en-US" w:eastAsia="zh-CN" w:bidi="ar-SA"/>
          <w14:textFill>
            <w14:solidFill>
              <w14:schemeClr w14:val="tx1"/>
            </w14:solidFill>
          </w14:textFill>
        </w:rPr>
        <w:t>第四节 强化湿地保护修复</w:t>
      </w:r>
      <w:bookmarkEnd w:id="36"/>
      <w:bookmarkEnd w:id="37"/>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仿宋_GB2312" w:hAnsi="仿宋_GB2312" w:eastAsia="仿宋_GB2312" w:cs="仿宋_GB2312"/>
          <w:strike/>
          <w:dstrike w:val="0"/>
          <w:color w:val="000000" w:themeColor="text1"/>
          <w:kern w:val="0"/>
          <w:sz w:val="32"/>
          <w:szCs w:val="32"/>
          <w:highlight w:val="none"/>
          <w:lang w:val="en-US" w:eastAsia="zh-CN" w:bidi="ar"/>
          <w14:textFill>
            <w14:solidFill>
              <w14:schemeClr w14:val="tx1"/>
            </w14:solidFill>
          </w14:textFill>
        </w:rPr>
      </w:pPr>
      <w:r>
        <w:rPr>
          <w:rFonts w:hint="eastAsia" w:ascii="仿宋_GB2312" w:hAnsi="仿宋_GB2312" w:eastAsia="仿宋_GB2312" w:cs="仿宋_GB2312"/>
          <w:strike w:val="0"/>
          <w:dstrike w:val="0"/>
          <w:color w:val="000000" w:themeColor="text1"/>
          <w:kern w:val="0"/>
          <w:sz w:val="32"/>
          <w:szCs w:val="32"/>
          <w:highlight w:val="none"/>
          <w:lang w:val="en-US" w:eastAsia="zh-CN" w:bidi="ar"/>
          <w14:textFill>
            <w14:solidFill>
              <w14:schemeClr w14:val="tx1"/>
            </w14:solidFill>
          </w14:textFill>
        </w:rPr>
        <w:t>落实湿地保护修复制度，增强湿地涵养水源、净化水质、调蓄洪水等生态功能，保护湿地物种资源。建立边界清晰、管理明确的湿地分级管理体系。</w:t>
      </w:r>
    </w:p>
    <w:p>
      <w:pPr>
        <w:pStyle w:val="6"/>
        <w:pageBreakBefore w:val="0"/>
        <w:kinsoku/>
        <w:wordWrap/>
        <w:overflowPunct/>
        <w:topLinePunct w:val="0"/>
        <w:autoSpaceDE/>
        <w:autoSpaceDN/>
        <w:bidi w:val="0"/>
        <w:adjustRightInd/>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bookmarkStart w:id="38" w:name="_Toc54190060"/>
      <w:bookmarkStart w:id="39" w:name="_Toc54190323"/>
      <w:bookmarkStart w:id="40" w:name="_Toc54190196"/>
      <w:r>
        <w:rPr>
          <w:rFonts w:hint="eastAsia" w:ascii="黑体" w:hAnsi="黑体" w:eastAsia="黑体" w:cs="黑体"/>
          <w:b w:val="0"/>
          <w:bCs w:val="0"/>
          <w:color w:val="000000" w:themeColor="text1"/>
          <w:lang w:val="en-US" w:eastAsia="zh-CN"/>
          <w14:textFill>
            <w14:solidFill>
              <w14:schemeClr w14:val="tx1"/>
            </w14:solidFill>
          </w14:textFill>
        </w:rPr>
        <w:t>一、健全湿地保护体系</w:t>
      </w:r>
      <w:bookmarkEnd w:id="38"/>
      <w:bookmarkEnd w:id="39"/>
      <w:bookmarkEnd w:id="40"/>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将重点湿地纳入保护范围，落实湿地面积总量管控，确保湿地面积不减。重点加强湿地生态系统典型完整或珍稀濒危物种集中分布区域保护，稳步提高湿地保护率。全面建立湿地分级管理，在全县范围内建立边界清晰、管理明确的湿地管理体系。</w:t>
      </w:r>
    </w:p>
    <w:p>
      <w:pPr>
        <w:pStyle w:val="6"/>
        <w:pageBreakBefore w:val="0"/>
        <w:kinsoku/>
        <w:wordWrap/>
        <w:overflowPunct/>
        <w:topLinePunct w:val="0"/>
        <w:autoSpaceDE/>
        <w:autoSpaceDN/>
        <w:bidi w:val="0"/>
        <w:adjustRightInd/>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bookmarkStart w:id="41" w:name="_Toc54190061"/>
      <w:bookmarkStart w:id="42" w:name="_Toc54190324"/>
      <w:bookmarkStart w:id="43" w:name="_Toc54190197"/>
      <w:r>
        <w:rPr>
          <w:rFonts w:hint="eastAsia" w:ascii="黑体" w:hAnsi="黑体" w:eastAsia="黑体" w:cs="黑体"/>
          <w:b w:val="0"/>
          <w:bCs w:val="0"/>
          <w:color w:val="000000" w:themeColor="text1"/>
          <w:lang w:val="en-US" w:eastAsia="zh-CN"/>
          <w14:textFill>
            <w14:solidFill>
              <w14:schemeClr w14:val="tx1"/>
            </w14:solidFill>
          </w14:textFill>
        </w:rPr>
        <w:t>二、加强重点湿地生态修复</w:t>
      </w:r>
      <w:bookmarkEnd w:id="41"/>
      <w:bookmarkEnd w:id="42"/>
      <w:bookmarkEnd w:id="43"/>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建设金沙江流域湿地保护与修复工程，实施湿地保护恢复工程，对集中连片、破碎化严重、功能退化的湿地进行修复和综合整治，优先修复生态功能严重退化的重要湿地，推进退塘还湿。</w:t>
      </w:r>
    </w:p>
    <w:p>
      <w:pPr>
        <w:pStyle w:val="6"/>
        <w:pageBreakBefore w:val="0"/>
        <w:kinsoku/>
        <w:wordWrap/>
        <w:overflowPunct/>
        <w:topLinePunct w:val="0"/>
        <w:autoSpaceDE/>
        <w:autoSpaceDN/>
        <w:bidi w:val="0"/>
        <w:adjustRightInd/>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bookmarkStart w:id="44" w:name="_Toc54190325"/>
      <w:bookmarkStart w:id="45" w:name="_Toc54190198"/>
      <w:bookmarkStart w:id="46" w:name="_Toc54190062"/>
      <w:r>
        <w:rPr>
          <w:rFonts w:hint="eastAsia" w:ascii="黑体" w:hAnsi="黑体" w:eastAsia="黑体" w:cs="黑体"/>
          <w:b w:val="0"/>
          <w:bCs w:val="0"/>
          <w:color w:val="000000" w:themeColor="text1"/>
          <w:lang w:val="en-US" w:eastAsia="zh-CN"/>
          <w14:textFill>
            <w14:solidFill>
              <w14:schemeClr w14:val="tx1"/>
            </w14:solidFill>
          </w14:textFill>
        </w:rPr>
        <w:t>三、提升湿地管理能力</w:t>
      </w:r>
      <w:bookmarkEnd w:id="44"/>
      <w:bookmarkEnd w:id="45"/>
      <w:bookmarkEnd w:id="46"/>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全面提升湿地保护管理能力和水平，推进湿地监测体系建设，完善建设湿地监测网络，统筹湿地生态监测站点建设，提高监测数据质量和信息化水平；完善科技支撑体系，加强“世界湿地日”“湿地月”等科普宣传，普及湿地知识，形成全社会保护湿地良好氛围。</w:t>
      </w:r>
    </w:p>
    <w:p>
      <w:pPr>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p>
    <w:p>
      <w:pPr>
        <w:pStyle w:val="3"/>
        <w:ind w:left="0" w:leftChars="0" w:firstLine="0" w:firstLineChars="0"/>
        <w:rPr>
          <w:rFonts w:hint="default"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p>
    <w:tbl>
      <w:tblPr>
        <w:tblStyle w:val="14"/>
        <w:tblW w:w="9071" w:type="dxa"/>
        <w:jc w:val="center"/>
        <w:tblInd w:w="0" w:type="dxa"/>
        <w:shd w:val="clear" w:color="auto" w:fill="auto"/>
        <w:tblLayout w:type="fixed"/>
        <w:tblCellMar>
          <w:top w:w="0" w:type="dxa"/>
          <w:left w:w="108" w:type="dxa"/>
          <w:bottom w:w="0" w:type="dxa"/>
          <w:right w:w="108" w:type="dxa"/>
        </w:tblCellMar>
      </w:tblPr>
      <w:tblGrid>
        <w:gridCol w:w="9071"/>
      </w:tblGrid>
      <w:tr>
        <w:tblPrEx>
          <w:shd w:val="clear" w:color="auto" w:fill="auto"/>
          <w:tblLayout w:type="fixed"/>
          <w:tblCellMar>
            <w:top w:w="0" w:type="dxa"/>
            <w:left w:w="108" w:type="dxa"/>
            <w:bottom w:w="0" w:type="dxa"/>
            <w:right w:w="108" w:type="dxa"/>
          </w:tblCellMar>
        </w:tblPrEx>
        <w:trPr>
          <w:trHeight w:val="198" w:hRule="atLeast"/>
          <w:jc w:val="center"/>
        </w:trPr>
        <w:tc>
          <w:tcPr>
            <w:tcW w:w="9071"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方正楷体简体" w:hAnsi="方正楷体简体" w:eastAsia="方正楷体简体" w:cs="方正楷体简体"/>
                <w:b/>
                <w:bCs/>
                <w:i w:val="0"/>
                <w:iCs w:val="0"/>
                <w:color w:val="000000" w:themeColor="text1"/>
                <w:kern w:val="0"/>
                <w:sz w:val="21"/>
                <w:szCs w:val="21"/>
                <w:u w:val="none"/>
                <w:lang w:val="en-US" w:eastAsia="zh-CN" w:bidi="ar"/>
                <w14:textFill>
                  <w14:solidFill>
                    <w14:schemeClr w14:val="tx1"/>
                  </w14:solidFill>
                </w14:textFill>
              </w:rPr>
            </w:pPr>
            <w:r>
              <w:rPr>
                <w:rFonts w:hint="eastAsia" w:ascii="方正楷体简体" w:hAnsi="方正楷体简体" w:eastAsia="方正楷体简体" w:cs="方正楷体简体"/>
                <w:b/>
                <w:bCs/>
                <w:color w:val="000000" w:themeColor="text1"/>
                <w:sz w:val="22"/>
                <w:szCs w:val="22"/>
                <w14:textFill>
                  <w14:solidFill>
                    <w14:schemeClr w14:val="tx1"/>
                  </w14:solidFill>
                </w14:textFill>
              </w:rPr>
              <w:t>专栏</w:t>
            </w:r>
            <w:r>
              <w:rPr>
                <w:rFonts w:hint="eastAsia" w:ascii="方正楷体简体" w:hAnsi="方正楷体简体" w:eastAsia="方正楷体简体" w:cs="方正楷体简体"/>
                <w:b/>
                <w:bCs/>
                <w:color w:val="000000" w:themeColor="text1"/>
                <w:sz w:val="22"/>
                <w:szCs w:val="22"/>
                <w:lang w:val="en-US" w:eastAsia="zh-CN"/>
                <w14:textFill>
                  <w14:solidFill>
                    <w14:schemeClr w14:val="tx1"/>
                  </w14:solidFill>
                </w14:textFill>
              </w:rPr>
              <w:t>3</w:t>
            </w:r>
            <w:r>
              <w:rPr>
                <w:rFonts w:hint="eastAsia" w:ascii="方正楷体简体" w:hAnsi="方正楷体简体" w:eastAsia="方正楷体简体" w:cs="方正楷体简体"/>
                <w:b/>
                <w:bCs/>
                <w:color w:val="000000" w:themeColor="text1"/>
                <w:sz w:val="22"/>
                <w:szCs w:val="22"/>
                <w14:textFill>
                  <w14:solidFill>
                    <w14:schemeClr w14:val="tx1"/>
                  </w14:solidFill>
                </w14:textFill>
              </w:rPr>
              <w:t>-</w:t>
            </w:r>
            <w:r>
              <w:rPr>
                <w:rFonts w:hint="eastAsia" w:ascii="方正楷体简体" w:hAnsi="方正楷体简体" w:eastAsia="方正楷体简体" w:cs="方正楷体简体"/>
                <w:b/>
                <w:bCs/>
                <w:color w:val="000000" w:themeColor="text1"/>
                <w:sz w:val="22"/>
                <w:szCs w:val="22"/>
                <w:lang w:val="en-US" w:eastAsia="zh-CN"/>
                <w14:textFill>
                  <w14:solidFill>
                    <w14:schemeClr w14:val="tx1"/>
                  </w14:solidFill>
                </w14:textFill>
              </w:rPr>
              <w:t>4</w:t>
            </w:r>
            <w:r>
              <w:rPr>
                <w:rFonts w:hint="eastAsia" w:ascii="方正楷体简体" w:hAnsi="方正楷体简体" w:eastAsia="方正楷体简体" w:cs="方正楷体简体"/>
                <w:b/>
                <w:bCs/>
                <w:color w:val="000000" w:themeColor="text1"/>
                <w:sz w:val="22"/>
                <w:szCs w:val="22"/>
                <w14:textFill>
                  <w14:solidFill>
                    <w14:schemeClr w14:val="tx1"/>
                  </w14:solidFill>
                </w14:textFill>
              </w:rPr>
              <w:t>：</w:t>
            </w:r>
            <w:r>
              <w:rPr>
                <w:rFonts w:hint="eastAsia" w:ascii="方正楷体简体" w:hAnsi="方正楷体简体" w:eastAsia="方正楷体简体" w:cs="方正楷体简体"/>
                <w:b/>
                <w:bCs/>
                <w:color w:val="000000" w:themeColor="text1"/>
                <w:sz w:val="22"/>
                <w:szCs w:val="22"/>
                <w:lang w:val="en-US" w:eastAsia="zh-CN"/>
                <w14:textFill>
                  <w14:solidFill>
                    <w14:schemeClr w14:val="tx1"/>
                  </w14:solidFill>
                </w14:textFill>
              </w:rPr>
              <w:t>湿地保护修复</w:t>
            </w:r>
            <w:r>
              <w:rPr>
                <w:rFonts w:hint="eastAsia" w:ascii="方正楷体简体" w:hAnsi="方正楷体简体" w:eastAsia="方正楷体简体" w:cs="方正楷体简体"/>
                <w:b/>
                <w:bCs/>
                <w:color w:val="000000" w:themeColor="text1"/>
                <w:sz w:val="22"/>
                <w:szCs w:val="22"/>
                <w14:textFill>
                  <w14:solidFill>
                    <w14:schemeClr w14:val="tx1"/>
                  </w14:solidFill>
                </w14:textFill>
              </w:rPr>
              <w:t>工程</w:t>
            </w:r>
          </w:p>
        </w:tc>
      </w:tr>
      <w:tr>
        <w:tblPrEx>
          <w:tblLayout w:type="fixed"/>
          <w:tblCellMar>
            <w:top w:w="0" w:type="dxa"/>
            <w:left w:w="108" w:type="dxa"/>
            <w:bottom w:w="0" w:type="dxa"/>
            <w:right w:w="108" w:type="dxa"/>
          </w:tblCellMar>
        </w:tblPrEx>
        <w:trPr>
          <w:trHeight w:val="198" w:hRule="atLeast"/>
          <w:jc w:val="center"/>
        </w:trPr>
        <w:tc>
          <w:tcPr>
            <w:tcW w:w="9071" w:type="dxa"/>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pageBreakBefore w:val="0"/>
              <w:widowControl/>
              <w:numPr>
                <w:ilvl w:val="0"/>
                <w:numId w:val="5"/>
              </w:numPr>
              <w:suppressLineNumbers w:val="0"/>
              <w:kinsoku/>
              <w:wordWrap/>
              <w:overflowPunct/>
              <w:topLinePunct w:val="0"/>
              <w:autoSpaceDE/>
              <w:autoSpaceDN/>
              <w:bidi w:val="0"/>
              <w:adjustRightInd/>
              <w:snapToGrid/>
              <w:spacing w:line="15" w:lineRule="auto"/>
              <w:jc w:val="left"/>
              <w:textAlignment w:val="center"/>
              <w:rPr>
                <w:rFonts w:hint="default" w:ascii="方正楷体简体" w:hAnsi="方正楷体简体" w:eastAsia="方正楷体简体" w:cs="方正楷体简体"/>
                <w:b/>
                <w:bCs/>
                <w:color w:val="000000" w:themeColor="text1"/>
                <w:sz w:val="24"/>
                <w:szCs w:val="24"/>
                <w:lang w:val="en-US"/>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元谋县湿地生态保护与修复工程建设项目:</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创建湿地保护小区6万亩；建设金沙江流域湿地保护与修复2万亩，扩大湿地面积1万亩，小微湿地建设0.08万亩。</w:t>
            </w:r>
          </w:p>
        </w:tc>
      </w:tr>
    </w:tbl>
    <w:p>
      <w:pPr>
        <w:keepNext w:val="0"/>
        <w:keepLines w:val="0"/>
        <w:pageBreakBefore w:val="0"/>
        <w:widowControl w:val="0"/>
        <w:kinsoku/>
        <w:wordWrap/>
        <w:overflowPunct/>
        <w:topLinePunct w:val="0"/>
        <w:autoSpaceDE w:val="0"/>
        <w:autoSpaceDN w:val="0"/>
        <w:bidi w:val="0"/>
        <w:adjustRightInd w:val="0"/>
        <w:snapToGrid/>
        <w:spacing w:before="160" w:beforeLines="50" w:after="160" w:afterLines="50" w:line="600" w:lineRule="exact"/>
        <w:jc w:val="center"/>
        <w:textAlignment w:val="auto"/>
        <w:outlineLvl w:val="0"/>
        <w:rPr>
          <w:rFonts w:hint="eastAsia" w:ascii="方正小标宋简体" w:hAnsi="方正小标宋简体" w:eastAsia="方正小标宋简体" w:cs="方正小标宋简体"/>
          <w:bCs/>
          <w:color w:val="000000" w:themeColor="text1"/>
          <w:kern w:val="44"/>
          <w:sz w:val="44"/>
          <w:szCs w:val="44"/>
          <w:lang w:val="en-US" w:eastAsia="zh-CN" w:bidi="ar"/>
          <w14:textFill>
            <w14:solidFill>
              <w14:schemeClr w14:val="tx1"/>
            </w14:solidFill>
          </w14:textFill>
        </w:rPr>
      </w:pPr>
      <w:bookmarkStart w:id="47" w:name="_Toc5214"/>
      <w:bookmarkStart w:id="48" w:name="_Toc8505"/>
    </w:p>
    <w:p>
      <w:pPr>
        <w:keepNext w:val="0"/>
        <w:keepLines w:val="0"/>
        <w:pageBreakBefore w:val="0"/>
        <w:widowControl w:val="0"/>
        <w:kinsoku/>
        <w:wordWrap/>
        <w:overflowPunct/>
        <w:topLinePunct w:val="0"/>
        <w:autoSpaceDE w:val="0"/>
        <w:autoSpaceDN w:val="0"/>
        <w:bidi w:val="0"/>
        <w:adjustRightInd w:val="0"/>
        <w:snapToGrid/>
        <w:spacing w:before="160" w:beforeLines="50" w:after="160" w:afterLines="50" w:line="600" w:lineRule="exact"/>
        <w:jc w:val="center"/>
        <w:textAlignment w:val="auto"/>
        <w:outlineLvl w:val="0"/>
        <w:rPr>
          <w:rFonts w:hint="eastAsia" w:ascii="方正小标宋简体" w:hAnsi="方正小标宋简体" w:eastAsia="方正小标宋简体" w:cs="方正小标宋简体"/>
          <w:bCs/>
          <w:color w:val="000000" w:themeColor="text1"/>
          <w:kern w:val="44"/>
          <w:sz w:val="44"/>
          <w:szCs w:val="44"/>
          <w:lang w:val="en-US" w:eastAsia="zh-CN" w:bidi="ar"/>
          <w14:textFill>
            <w14:solidFill>
              <w14:schemeClr w14:val="tx1"/>
            </w14:solidFill>
          </w14:textFill>
        </w:rPr>
      </w:pPr>
      <w:r>
        <w:rPr>
          <w:rFonts w:hint="eastAsia" w:ascii="方正小标宋简体" w:hAnsi="方正小标宋简体" w:eastAsia="方正小标宋简体" w:cs="方正小标宋简体"/>
          <w:bCs/>
          <w:color w:val="000000" w:themeColor="text1"/>
          <w:kern w:val="44"/>
          <w:sz w:val="44"/>
          <w:szCs w:val="44"/>
          <w:lang w:val="en-US" w:eastAsia="zh-CN" w:bidi="ar"/>
          <w14:textFill>
            <w14:solidFill>
              <w14:schemeClr w14:val="tx1"/>
            </w14:solidFill>
          </w14:textFill>
        </w:rPr>
        <w:t>第四章 保护生物多样性</w:t>
      </w:r>
      <w:bookmarkEnd w:id="47"/>
      <w:bookmarkEnd w:id="48"/>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构建野生动植物保护和监管体系，维护生物多样性和生物安全。全面保护野生动植物资源，加强野生动植物管理，禁止食用野生动物，积极开展重要物种栖息地保护恢复和生物廊道建设。</w:t>
      </w:r>
    </w:p>
    <w:p>
      <w:pPr>
        <w:pStyle w:val="8"/>
        <w:ind w:left="0" w:leftChars="0" w:firstLine="0" w:firstLineChars="0"/>
        <w:jc w:val="both"/>
        <w:rPr>
          <w:color w:val="000000" w:themeColor="text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4872355</wp:posOffset>
                </wp:positionH>
                <wp:positionV relativeFrom="paragraph">
                  <wp:posOffset>349885</wp:posOffset>
                </wp:positionV>
                <wp:extent cx="812800" cy="273050"/>
                <wp:effectExtent l="4445" t="4445" r="5715" b="12065"/>
                <wp:wrapNone/>
                <wp:docPr id="2" name="文本框 2"/>
                <wp:cNvGraphicFramePr/>
                <a:graphic xmlns:a="http://schemas.openxmlformats.org/drawingml/2006/main">
                  <a:graphicData uri="http://schemas.microsoft.com/office/word/2010/wordprocessingShape">
                    <wps:wsp>
                      <wps:cNvSpPr txBox="1"/>
                      <wps:spPr>
                        <a:xfrm>
                          <a:off x="0" y="0"/>
                          <a:ext cx="812800" cy="273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楷体简体" w:hAnsi="方正楷体简体" w:eastAsia="方正楷体简体" w:cs="方正楷体简体"/>
                                <w:b/>
                                <w:bCs/>
                                <w:lang w:val="en-US" w:eastAsia="zh-CN"/>
                              </w:rPr>
                            </w:pPr>
                            <w:r>
                              <w:rPr>
                                <w:rFonts w:hint="eastAsia" w:ascii="方正楷体简体" w:hAnsi="方正楷体简体" w:eastAsia="方正楷体简体" w:cs="方正楷体简体"/>
                                <w:b/>
                                <w:bCs/>
                                <w:lang w:val="en-US" w:eastAsia="zh-CN"/>
                              </w:rPr>
                              <w:t>单位：万元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3.65pt;margin-top:27.55pt;height:21.5pt;width:64pt;z-index:251662336;mso-width-relative:page;mso-height-relative:page;" fillcolor="#FFFFFF [3201]" filled="t" stroked="t" coordsize="21600,21600" o:gfxdata="UEsDBAoAAAAAAIdO4kAAAAAAAAAAAAAAAAAEAAAAZHJzL1BLAwQUAAAACACHTuJATwMCedcAAAAJ&#10;AQAADwAAAGRycy9kb3ducmV2LnhtbE2PwU7DMAyG70i8Q2QkbiztqnZd13QSSEiIG6MXblnjtdUa&#10;p0qydbw95gRH259+f3+9v9lJXNGH0ZGCdJWAQOqcGalX0H6+PpUgQtRk9OQIFXxjgH1zf1fryriF&#10;PvB6iL3gEAqVVjDEOFdShm5Aq8PKzUh8OzlvdeTR99J4vXC4neQ6SQpp9Uj8YdAzvgzYnQ8Xq+Ct&#10;eI5f2Jp3k60zt7Sy86cpKPX4kCY7EBFv8Q+GX31Wh4adju5CJohJwabYZIwqyPMUBAPlNufFUcG2&#10;TEE2tfzfoPkBUEsDBBQAAAAIAIdO4kDYFqoePAIAAGgEAAAOAAAAZHJzL2Uyb0RvYy54bWytVM2O&#10;0zAQviPxDpbvNGm2u1uqpqvSVRFSxa5UEGfHcRoLx2Nst0l5AHgDTly481x9DsbuzxbKCZGDM+OZ&#10;fDPzzUzGd12jyEZYJ0HntN9LKRGaQyn1Kqfv381fDClxnumSKdAip1vh6N3k+bNxa0YigxpUKSxB&#10;EO1Grclp7b0ZJYnjtWiY64ERGo0V2IZ5VO0qKS1rEb1RSZamN0kLtjQWuHAOb+/3RjqJ+FUluH+o&#10;Kic8UTnF3Hw8bTyLcCaTMRutLDO15Ic02D9k0TCpMegJ6p55RtZWXkA1kltwUPkehyaBqpJcxBqw&#10;mn76RzXLmhkRa0FynDnR5P4fLH+7ebREljnNKNGswRbtvn3dff+5+/GFZIGe1rgRei0N+vnuFXTY&#10;5uO9w8tQdVfZJryxHoJ2JHp7Ild0nnC8HPazYYoWjqbs9iq9juQnTx8b6/xrAQ0JQk4t9i5SyjYL&#10;5zERdD26hFgOlCznUqmo2FUxU5ZsGPZ5Hp+QI37ym5vSpM3pzRXGvoAI2CeIQjH+8RIB8ZRG2MDJ&#10;vvYg+a7oDkQVUG6RJwv7QXOGzyXiLpjzj8ziZCEBuC3+AY9KASYDB4mSGuznv90Hf2w4WilpcVJz&#10;6j6tmRWUqDcaR+FlfzAIox2VwfVthoo9txTnFr1uZoAk9XEvDY9i8PfqKFYWmg+4VNMQFU1Mc4yd&#10;U38UZ36/P7iUXEyn0QmH2TC/0EvDA3QgV8N07aGSsXWBpj03B/ZwnGN7DqsX9uVcj15PP4jJ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8DAnnXAAAACQEAAA8AAAAAAAAAAQAgAAAAIgAAAGRycy9k&#10;b3ducmV2LnhtbFBLAQIUABQAAAAIAIdO4kDYFqoePAIAAGgEAAAOAAAAAAAAAAEAIAAAACYBAABk&#10;cnMvZTJvRG9jLnhtbFBLBQYAAAAABgAGAFkBAADUBQAAAAA=&#10;">
                <v:fill on="t" focussize="0,0"/>
                <v:stroke weight="0.5pt" color="#000000 [3204]" joinstyle="round"/>
                <v:imagedata o:title=""/>
                <o:lock v:ext="edit" aspectratio="f"/>
                <v:textbox>
                  <w:txbxContent>
                    <w:p>
                      <w:pPr>
                        <w:rPr>
                          <w:rFonts w:hint="eastAsia" w:ascii="方正楷体简体" w:hAnsi="方正楷体简体" w:eastAsia="方正楷体简体" w:cs="方正楷体简体"/>
                          <w:b/>
                          <w:bCs/>
                          <w:lang w:val="en-US" w:eastAsia="zh-CN"/>
                        </w:rPr>
                      </w:pPr>
                      <w:r>
                        <w:rPr>
                          <w:rFonts w:hint="eastAsia" w:ascii="方正楷体简体" w:hAnsi="方正楷体简体" w:eastAsia="方正楷体简体" w:cs="方正楷体简体"/>
                          <w:b/>
                          <w:bCs/>
                          <w:lang w:val="en-US" w:eastAsia="zh-CN"/>
                        </w:rPr>
                        <w:t>单位：万元</w:t>
                      </w:r>
                    </w:p>
                  </w:txbxContent>
                </v:textbox>
              </v:shape>
            </w:pict>
          </mc:Fallback>
        </mc:AlternateContent>
      </w:r>
      <w:r>
        <w:rPr>
          <w:color w:val="000000" w:themeColor="text1"/>
          <w14:textFill>
            <w14:solidFill>
              <w14:schemeClr w14:val="tx1"/>
            </w14:solidFill>
          </w14:textFill>
        </w:rPr>
        <w:drawing>
          <wp:inline distT="0" distB="0" distL="114300" distR="114300">
            <wp:extent cx="5571490" cy="2686685"/>
            <wp:effectExtent l="4445" t="4445" r="17145" b="6350"/>
            <wp:docPr id="71070" name="图表 710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8"/>
        <w:jc w:val="center"/>
        <w:rPr>
          <w:rFonts w:hint="eastAsia" w:ascii="Times New Roman" w:eastAsia="方正仿宋_GBK"/>
          <w:color w:val="000000" w:themeColor="text1"/>
          <w:kern w:val="2"/>
          <w:sz w:val="32"/>
          <w:szCs w:val="32"/>
          <w:lang w:val="en-US" w:eastAsia="zh-CN"/>
          <w14:textFill>
            <w14:solidFill>
              <w14:schemeClr w14:val="tx1"/>
            </w14:solidFill>
          </w14:textFill>
        </w:rPr>
      </w:pPr>
      <w:r>
        <w:rPr>
          <w:rFonts w:hint="eastAsia" w:ascii="方正楷体简体" w:hAnsi="方正楷体简体" w:eastAsia="方正楷体简体" w:cs="方正楷体简体"/>
          <w:b/>
          <w:bCs/>
          <w:color w:val="000000" w:themeColor="text1"/>
          <w:sz w:val="24"/>
          <w:szCs w:val="22"/>
          <w:lang w:val="en-US" w:eastAsia="zh-CN"/>
          <w14:textFill>
            <w14:solidFill>
              <w14:schemeClr w14:val="tx1"/>
            </w14:solidFill>
          </w14:textFill>
        </w:rPr>
        <w:t>图4-1  “十四五”野生动植物保护计划项目投资金额</w:t>
      </w:r>
    </w:p>
    <w:p>
      <w:pPr>
        <w:rPr>
          <w:color w:val="000000" w:themeColor="text1"/>
          <w14:textFill>
            <w14:solidFill>
              <w14:schemeClr w14:val="tx1"/>
            </w14:solidFill>
          </w14:textFill>
        </w:rPr>
      </w:pPr>
    </w:p>
    <w:p>
      <w:pPr>
        <w:pStyle w:val="5"/>
        <w:keepNext/>
        <w:keepLines/>
        <w:pageBreakBefore w:val="0"/>
        <w:widowControl/>
        <w:kinsoku/>
        <w:wordWrap/>
        <w:overflowPunct/>
        <w:topLinePunct w:val="0"/>
        <w:autoSpaceDE/>
        <w:autoSpaceDN/>
        <w:bidi w:val="0"/>
        <w:adjustRightInd/>
        <w:snapToGrid/>
        <w:spacing w:before="194" w:beforeLines="50" w:after="194" w:afterLines="50" w:line="600" w:lineRule="exact"/>
        <w:jc w:val="center"/>
        <w:textAlignment w:val="auto"/>
        <w:rPr>
          <w:rFonts w:hint="eastAsia" w:ascii="方正小标宋简体" w:hAnsi="方正小标宋简体" w:eastAsia="方正小标宋简体" w:cs="方正小标宋简体"/>
          <w:b w:val="0"/>
          <w:bCs w:val="0"/>
          <w:color w:val="000000" w:themeColor="text1"/>
          <w:kern w:val="0"/>
          <w:sz w:val="36"/>
          <w:szCs w:val="36"/>
          <w:lang w:val="en-US" w:eastAsia="zh-CN" w:bidi="ar-SA"/>
          <w14:textFill>
            <w14:solidFill>
              <w14:schemeClr w14:val="tx1"/>
            </w14:solidFill>
          </w14:textFill>
        </w:rPr>
      </w:pPr>
      <w:bookmarkStart w:id="49" w:name="_Toc3761"/>
      <w:bookmarkStart w:id="50" w:name="_Toc10347"/>
      <w:r>
        <w:rPr>
          <w:rFonts w:hint="eastAsia" w:ascii="方正小标宋简体" w:hAnsi="方正小标宋简体" w:eastAsia="方正小标宋简体" w:cs="方正小标宋简体"/>
          <w:b w:val="0"/>
          <w:bCs w:val="0"/>
          <w:color w:val="000000" w:themeColor="text1"/>
          <w:kern w:val="0"/>
          <w:sz w:val="36"/>
          <w:szCs w:val="36"/>
          <w:lang w:val="en-US" w:eastAsia="zh-CN" w:bidi="ar-SA"/>
          <w14:textFill>
            <w14:solidFill>
              <w14:schemeClr w14:val="tx1"/>
            </w14:solidFill>
          </w14:textFill>
        </w:rPr>
        <w:t>第一节  夯实野生动植物资源监测体系</w:t>
      </w:r>
      <w:bookmarkEnd w:id="49"/>
      <w:bookmarkEnd w:id="50"/>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持续开展野生动植物资源调查，完善资源数据。评估划定自然保护地外野生动植物重要栖息地、原生境和候鸟迁徙通道，公布禁猎区、禁猎期。</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将重要栖息地纳入森林资源“一张图”。构建重点野生动植物及其栖息地信息化监测体系，实施动态监测，评估重点野生动植物种数保护率。加强迁徙候鸟巡护保护，开展沿线宣传警示教育。严禁野生动物非法交易和食用，从严查处违法违规行为，革除滥食野生动物陋习。加大禁食野生动物处置利用的指导、服务和监管力度。建立健全野生动物科研监测、野生动物疫源疫病监测防控体系，以及国家重点保护野生动植物基因保存设施。</w:t>
      </w:r>
    </w:p>
    <w:p>
      <w:pPr>
        <w:pStyle w:val="5"/>
        <w:keepNext/>
        <w:keepLines/>
        <w:pageBreakBefore w:val="0"/>
        <w:widowControl/>
        <w:kinsoku/>
        <w:wordWrap/>
        <w:overflowPunct/>
        <w:topLinePunct w:val="0"/>
        <w:autoSpaceDE/>
        <w:autoSpaceDN/>
        <w:bidi w:val="0"/>
        <w:adjustRightInd/>
        <w:snapToGrid/>
        <w:spacing w:before="194" w:beforeLines="50" w:after="194" w:afterLines="50" w:line="600" w:lineRule="exact"/>
        <w:jc w:val="center"/>
        <w:textAlignment w:val="auto"/>
        <w:rPr>
          <w:rFonts w:hint="eastAsia" w:ascii="方正小标宋简体" w:hAnsi="方正小标宋简体" w:eastAsia="方正小标宋简体" w:cs="方正小标宋简体"/>
          <w:b w:val="0"/>
          <w:bCs w:val="0"/>
          <w:color w:val="000000" w:themeColor="text1"/>
          <w:kern w:val="0"/>
          <w:sz w:val="36"/>
          <w:szCs w:val="36"/>
          <w:lang w:val="en-US" w:eastAsia="zh-CN" w:bidi="ar-SA"/>
          <w14:textFill>
            <w14:solidFill>
              <w14:schemeClr w14:val="tx1"/>
            </w14:solidFill>
          </w14:textFill>
        </w:rPr>
      </w:pPr>
      <w:bookmarkStart w:id="51" w:name="_Toc11922"/>
      <w:bookmarkStart w:id="52" w:name="_Toc25522"/>
      <w:r>
        <w:rPr>
          <w:rFonts w:hint="eastAsia" w:ascii="方正小标宋简体" w:hAnsi="方正小标宋简体" w:eastAsia="方正小标宋简体" w:cs="方正小标宋简体"/>
          <w:b w:val="0"/>
          <w:bCs w:val="0"/>
          <w:color w:val="000000" w:themeColor="text1"/>
          <w:kern w:val="0"/>
          <w:sz w:val="36"/>
          <w:szCs w:val="36"/>
          <w:lang w:val="en-US" w:eastAsia="zh-CN" w:bidi="ar-SA"/>
          <w14:textFill>
            <w14:solidFill>
              <w14:schemeClr w14:val="tx1"/>
            </w14:solidFill>
          </w14:textFill>
        </w:rPr>
        <w:t>第二节 构</w:t>
      </w:r>
      <w:r>
        <w:rPr>
          <w:rFonts w:hint="eastAsia" w:ascii="方正小标宋简体" w:hAnsi="方正小标宋简体" w:eastAsia="方正小标宋简体" w:cs="方正小标宋简体"/>
          <w:b w:val="0"/>
          <w:bCs w:val="0"/>
          <w:color w:val="000000" w:themeColor="text1"/>
          <w:kern w:val="0"/>
          <w:sz w:val="36"/>
          <w:szCs w:val="36"/>
          <w:highlight w:val="none"/>
          <w:lang w:val="en-US" w:eastAsia="zh-CN" w:bidi="ar-SA"/>
          <w14:textFill>
            <w14:solidFill>
              <w14:schemeClr w14:val="tx1"/>
            </w14:solidFill>
          </w14:textFill>
        </w:rPr>
        <w:t>建自然保护地</w:t>
      </w:r>
      <w:r>
        <w:rPr>
          <w:rFonts w:hint="eastAsia" w:ascii="方正小标宋简体" w:hAnsi="方正小标宋简体" w:eastAsia="方正小标宋简体" w:cs="方正小标宋简体"/>
          <w:b w:val="0"/>
          <w:bCs w:val="0"/>
          <w:color w:val="000000" w:themeColor="text1"/>
          <w:kern w:val="0"/>
          <w:sz w:val="36"/>
          <w:szCs w:val="36"/>
          <w:lang w:val="en-US" w:eastAsia="zh-CN" w:bidi="ar-SA"/>
          <w14:textFill>
            <w14:solidFill>
              <w14:schemeClr w14:val="tx1"/>
            </w14:solidFill>
          </w14:textFill>
        </w:rPr>
        <w:t>建设体系</w:t>
      </w:r>
      <w:bookmarkEnd w:id="51"/>
      <w:bookmarkEnd w:id="52"/>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构建</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自然保护地建设</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体系，按照中共楚雄州委办公室楚雄州人民政府办公室印发《楚雄州建立以国家公园为主体</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的自然保护地体系的</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实施意见》的通知（楚办发【2021】16号），整合优化现有各级各类</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自然保护地</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，通过科学规划，明确</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自然保护地</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发展目标、规模和划定区域，将生态功能重要、生态系统脆弱，自然生态保护空缺的区域规划为重要的自然生态空间纳入</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自然保护地</w:t>
      </w: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体系，科学划定保护地核心保护区和一般控制区，实行差别化保护管理。</w:t>
      </w:r>
    </w:p>
    <w:p>
      <w:pPr>
        <w:pStyle w:val="8"/>
        <w:jc w:val="center"/>
        <w:rPr>
          <w:rFonts w:hint="eastAsia" w:ascii="方正宋黑简体" w:hAnsi="方正宋黑简体" w:eastAsia="方正宋黑简体" w:cs="方正宋黑简体"/>
          <w:b/>
          <w:bCs/>
          <w:color w:val="000000" w:themeColor="text1"/>
          <w:kern w:val="0"/>
          <w:sz w:val="32"/>
          <w:szCs w:val="32"/>
          <w:lang w:val="en-US" w:eastAsia="zh-CN" w:bidi="ar-SA"/>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3907155</wp:posOffset>
                </wp:positionH>
                <wp:positionV relativeFrom="paragraph">
                  <wp:posOffset>472440</wp:posOffset>
                </wp:positionV>
                <wp:extent cx="799465" cy="275590"/>
                <wp:effectExtent l="6350" t="6350" r="13335" b="22860"/>
                <wp:wrapNone/>
                <wp:docPr id="16" name="矩形 16"/>
                <wp:cNvGraphicFramePr/>
                <a:graphic xmlns:a="http://schemas.openxmlformats.org/drawingml/2006/main">
                  <a:graphicData uri="http://schemas.microsoft.com/office/word/2010/wordprocessingShape">
                    <wps:wsp>
                      <wps:cNvSpPr/>
                      <wps:spPr>
                        <a:xfrm>
                          <a:off x="0" y="0"/>
                          <a:ext cx="799465" cy="27559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方正楷体简体" w:hAnsi="方正楷体简体" w:eastAsia="方正楷体简体" w:cs="方正楷体简体"/>
                                <w:b/>
                                <w:bCs/>
                                <w:sz w:val="18"/>
                                <w:szCs w:val="18"/>
                                <w:lang w:val="en-US" w:eastAsia="zh-CN"/>
                              </w:rPr>
                            </w:pPr>
                            <w:r>
                              <w:rPr>
                                <w:rFonts w:hint="eastAsia" w:ascii="方正楷体简体" w:hAnsi="方正楷体简体" w:eastAsia="方正楷体简体" w:cs="方正楷体简体"/>
                                <w:b/>
                                <w:bCs/>
                                <w:sz w:val="18"/>
                                <w:szCs w:val="18"/>
                                <w:lang w:val="en-US" w:eastAsia="zh-CN"/>
                              </w:rPr>
                              <w:t>单位：万元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7.65pt;margin-top:37.2pt;height:21.7pt;width:62.95pt;z-index:251665408;v-text-anchor:middle;mso-width-relative:page;mso-height-relative:page;" fillcolor="#FFFFFF [3201]" filled="t" stroked="t" coordsize="21600,21600" o:gfxdata="UEsDBAoAAAAAAIdO4kAAAAAAAAAAAAAAAAAEAAAAZHJzL1BLAwQUAAAACACHTuJAFo9kKtoAAAAK&#10;AQAADwAAAGRycy9kb3ducmV2LnhtbE2PQU+DQBCF7yb+h82YeLMLlJaKLD2YaOKhNtTG85adAsrO&#10;Irst9d87nvQ4eV/e+6ZYX2wvzjj6zpGCeBaBQKqd6ahRsH97uluB8EGT0b0jVPCNHtbl9VWhc+Mm&#10;qvC8C43gEvK5VtCGMORS+rpFq/3MDUicHd1odeBzbKQZ9cTltpdJFC2l1R3xQqsHfGyx/tydrIJq&#10;v/m6X7xUySS3883x49W+G3xW6vYmjh5ABLyEPxh+9VkdSnY6uBMZL3oFy3gxZ1RBlqYgGMjSOAFx&#10;YDLOViDLQv5/ofwBUEsDBBQAAAAIAIdO4kAk59oxYQIAALIEAAAOAAAAZHJzL2Uyb0RvYy54bWyt&#10;VM1uEzEQviPxDpbvdDdR0jRRN1XUKAipopUK4ux4vVlL/sN2fsrLIHHjIXgcxGvw2btNU+gJsQdn&#10;xjOeme+bmVxeHbQiO+GDtKaig7OSEmG4raXZVPTjh9WbC0pCZKZmyhpR0QcR6NX89avLvZuJoW2t&#10;qoUnCGLCbO8q2sboZkUReCs0C2fWCQNjY71mEarfFLVne0TXqhiW5Xmxt7523nIRAm6XnZHOc/ym&#10;ETzeNk0QkaiKoraYT5/PdTqL+SWbbTxzreR9GewfqtBMGiQ9hlqyyMjWy79Cacm9DbaJZ9zqwjaN&#10;5CJjAJpB+Qea+5Y5kbGAnOCONIX/F5a/3915Imv07pwSwzR69Ovr958/vhFcgJ29CzM43bs732sB&#10;YoJ6aLxOvwBBDpnRhyOj4hAJx+VkOh2djynhMA0n4/E0M148PXY+xLfCapKEino0LPPIdjchIiFc&#10;H11SrmCVrFdSqaz4zfpaebJjaO4qf6liPHnmpgzZA95wUmIAOMOQNYpFiNoBdjAbSpjaYHp59Dn3&#10;s9fhNMmkXCxHk5eSpCKXLLRdMTlCcmMzLSMGXEld0Ysyff1rZVBpIrejM0nxsD70HK9t/YC+eNsN&#10;bHB8JZHhhoV4xzwmFFCwdfEWR6Ms8NleoqS1/stL98kfgwMrJXtMPLB/3jIvKFHvDEZqOhiN0opk&#10;ZTSeDKH4U8v61GK2+tqC9wH22/EsJv+oHsXGW/0Jy7lIWWFihiN3x3KvXMduE7HeXCwW2Q1r4Vi8&#10;MfeOp+CJQmMX22gbmechEdWx0/OHxcg975c4bd6pnr2e/mrm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Wj2Qq2gAAAAoBAAAPAAAAAAAAAAEAIAAAACIAAABkcnMvZG93bnJldi54bWxQSwECFAAU&#10;AAAACACHTuJAJOfaMWECAACyBAAADgAAAAAAAAABACAAAAApAQAAZHJzL2Uyb0RvYy54bWxQSwUG&#10;AAAAAAYABgBZAQAA/AUAAAAA&#10;">
                <v:fill on="t" focussize="0,0"/>
                <v:stroke weight="1pt" color="#70AD47 [3209]" miterlimit="8" joinstyle="miter"/>
                <v:imagedata o:title=""/>
                <o:lock v:ext="edit" aspectratio="f"/>
                <v:textbox>
                  <w:txbxContent>
                    <w:p>
                      <w:pPr>
                        <w:jc w:val="center"/>
                        <w:rPr>
                          <w:rFonts w:hint="eastAsia" w:ascii="方正楷体简体" w:hAnsi="方正楷体简体" w:eastAsia="方正楷体简体" w:cs="方正楷体简体"/>
                          <w:b/>
                          <w:bCs/>
                          <w:sz w:val="18"/>
                          <w:szCs w:val="18"/>
                          <w:lang w:val="en-US" w:eastAsia="zh-CN"/>
                        </w:rPr>
                      </w:pPr>
                      <w:r>
                        <w:rPr>
                          <w:rFonts w:hint="eastAsia" w:ascii="方正楷体简体" w:hAnsi="方正楷体简体" w:eastAsia="方正楷体简体" w:cs="方正楷体简体"/>
                          <w:b/>
                          <w:bCs/>
                          <w:sz w:val="18"/>
                          <w:szCs w:val="18"/>
                          <w:lang w:val="en-US" w:eastAsia="zh-CN"/>
                        </w:rPr>
                        <w:t>单位：万元</w:t>
                      </w:r>
                    </w:p>
                  </w:txbxContent>
                </v:textbox>
              </v:rect>
            </w:pict>
          </mc:Fallback>
        </mc:AlternateContent>
      </w:r>
      <w:r>
        <w:rPr>
          <w:color w:val="000000" w:themeColor="text1"/>
          <w14:textFill>
            <w14:solidFill>
              <w14:schemeClr w14:val="tx1"/>
            </w14:solidFill>
          </w14:textFill>
        </w:rPr>
        <w:drawing>
          <wp:inline distT="0" distB="0" distL="114300" distR="114300">
            <wp:extent cx="4572000" cy="2743200"/>
            <wp:effectExtent l="4445" t="4445" r="14605" b="14605"/>
            <wp:docPr id="35538" name="图表 355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8"/>
        <w:jc w:val="center"/>
        <w:rPr>
          <w:rFonts w:hint="eastAsia" w:ascii="方正楷体简体" w:hAnsi="方正楷体简体" w:eastAsia="方正楷体简体" w:cs="方正楷体简体"/>
          <w:b/>
          <w:bCs/>
          <w:color w:val="000000" w:themeColor="text1"/>
          <w:sz w:val="24"/>
          <w:szCs w:val="22"/>
          <w:lang w:val="en-US" w:eastAsia="zh-CN"/>
          <w14:textFill>
            <w14:solidFill>
              <w14:schemeClr w14:val="tx1"/>
            </w14:solidFill>
          </w14:textFill>
        </w:rPr>
      </w:pPr>
      <w:r>
        <w:rPr>
          <w:rFonts w:hint="eastAsia" w:ascii="方正楷体简体" w:hAnsi="方正楷体简体" w:eastAsia="方正楷体简体" w:cs="方正楷体简体"/>
          <w:b/>
          <w:bCs/>
          <w:color w:val="000000" w:themeColor="text1"/>
          <w:sz w:val="24"/>
          <w:szCs w:val="22"/>
          <w:lang w:val="en-US" w:eastAsia="zh-CN"/>
          <w14:textFill>
            <w14:solidFill>
              <w14:schemeClr w14:val="tx1"/>
            </w14:solidFill>
          </w14:textFill>
        </w:rPr>
        <w:t>图3-3  “十四五”</w:t>
      </w:r>
      <w:r>
        <w:rPr>
          <w:rFonts w:hint="eastAsia" w:ascii="方正楷体简体" w:hAnsi="方正楷体简体" w:eastAsia="方正楷体简体" w:cs="方正楷体简体"/>
          <w:b/>
          <w:bCs/>
          <w:color w:val="000000" w:themeColor="text1"/>
          <w:sz w:val="24"/>
          <w:szCs w:val="22"/>
          <w:highlight w:val="none"/>
          <w:lang w:val="en-US" w:eastAsia="zh-CN"/>
          <w14:textFill>
            <w14:solidFill>
              <w14:schemeClr w14:val="tx1"/>
            </w14:solidFill>
          </w14:textFill>
        </w:rPr>
        <w:t>自然保护地</w:t>
      </w:r>
      <w:r>
        <w:rPr>
          <w:rFonts w:hint="eastAsia" w:ascii="方正楷体简体" w:hAnsi="方正楷体简体" w:eastAsia="方正楷体简体" w:cs="方正楷体简体"/>
          <w:b/>
          <w:bCs/>
          <w:color w:val="000000" w:themeColor="text1"/>
          <w:sz w:val="24"/>
          <w:szCs w:val="22"/>
          <w:lang w:val="en-US" w:eastAsia="zh-CN"/>
          <w14:textFill>
            <w14:solidFill>
              <w14:schemeClr w14:val="tx1"/>
            </w14:solidFill>
          </w14:textFill>
        </w:rPr>
        <w:t>建设项目投资金额</w:t>
      </w:r>
    </w:p>
    <w:p>
      <w:pPr>
        <w:rPr>
          <w:rFonts w:hint="eastAsia"/>
          <w:color w:val="000000" w:themeColor="text1"/>
          <w:lang w:val="en-US" w:eastAsia="zh-CN"/>
          <w14:textFill>
            <w14:solidFill>
              <w14:schemeClr w14:val="tx1"/>
            </w14:solidFill>
          </w14:textFill>
        </w:rPr>
      </w:pPr>
    </w:p>
    <w:p>
      <w:pPr>
        <w:pStyle w:val="6"/>
        <w:pageBreakBefore w:val="0"/>
        <w:widowControl w:val="0"/>
        <w:kinsoku/>
        <w:wordWrap/>
        <w:overflowPunct/>
        <w:topLinePunct w:val="0"/>
        <w:autoSpaceDE/>
        <w:autoSpaceDN/>
        <w:bidi w:val="0"/>
        <w:adjustRightInd/>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一、开展地质自然公园和风景名胜区建设项目</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因自然保护地整合优化未最终批复，一方面按照整合优化前的元谋土林州级自然保护区进行管理，另一方面全力推进元谋土林省级地质自然公园（拟定晋升级为国家级）和元谋风景名胜区建设，</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将最重要的自然生态系统、自然遗迹、自然景观和濒危物种种群纳入</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省级地质自然公园</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建设，实行整体保护、系统修复、综合治理。进行元谋土林省级地质自然公园建设：包含自然保护与生态恢复工程建设、科研监测工程建设、宣教工程建设、基础设施与配套工程建设；进行元谋风景名胜区建设：包含基础保护设施建设、科研建设、旅游服务中心建设，在元谋古人类博物馆的基础上，建立元谋遗址遗迹文化展示体系，建设热坝气候游览体系及避寒度假设施，建立健全旅游管理、游客接待、旅游应急中心。</w:t>
      </w:r>
    </w:p>
    <w:p>
      <w:pPr>
        <w:pStyle w:val="6"/>
        <w:pageBreakBefore w:val="0"/>
        <w:widowControl w:val="0"/>
        <w:kinsoku/>
        <w:wordWrap/>
        <w:overflowPunct/>
        <w:topLinePunct w:val="0"/>
        <w:autoSpaceDE/>
        <w:autoSpaceDN/>
        <w:bidi w:val="0"/>
        <w:adjustRightInd/>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二、提升</w:t>
      </w:r>
      <w:r>
        <w:rPr>
          <w:rFonts w:hint="eastAsia" w:ascii="黑体" w:hAnsi="黑体" w:eastAsia="黑体" w:cs="黑体"/>
          <w:b w:val="0"/>
          <w:bCs w:val="0"/>
          <w:color w:val="000000" w:themeColor="text1"/>
          <w:highlight w:val="none"/>
          <w:lang w:val="en-US" w:eastAsia="zh-CN"/>
          <w14:textFill>
            <w14:solidFill>
              <w14:schemeClr w14:val="tx1"/>
            </w14:solidFill>
          </w14:textFill>
        </w:rPr>
        <w:t>自然保护地</w:t>
      </w:r>
      <w:r>
        <w:rPr>
          <w:rFonts w:hint="eastAsia" w:ascii="黑体" w:hAnsi="黑体" w:eastAsia="黑体" w:cs="黑体"/>
          <w:b w:val="0"/>
          <w:bCs w:val="0"/>
          <w:color w:val="000000" w:themeColor="text1"/>
          <w:lang w:val="en-US" w:eastAsia="zh-CN"/>
          <w14:textFill>
            <w14:solidFill>
              <w14:schemeClr w14:val="tx1"/>
            </w14:solidFill>
          </w14:textFill>
        </w:rPr>
        <w:t>管理水平</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全面加强</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自然保护地</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建设，提升管理水平。完成保护地范围和功能区整合优化，在重要地段、重要部位设立界桩和标识牌。以自然恢复为主，辅以科学合理的人工措施，开展受损自然生态系统修复，连通生态廊道，促进重要栖息地恢复和废弃地修复。</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default" w:ascii="方正仿宋简体" w:hAnsi="方正仿宋简体" w:eastAsia="方正仿宋简体" w:cs="方正仿宋简体"/>
          <w:color w:val="000000" w:themeColor="text1"/>
          <w:kern w:val="2"/>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以国土空间总体规划为基础，科学规划</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自然保护地</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的空间、功能区划和发展方向。加强保护地管理队伍建设，理顺管理体制，创新运行机制，强化监督管理，提高</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自然保护地治理</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体系和治理能力现代化水平。加</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强自然保护地业务</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用房和基础保障设施建设，完善管护、巡护、保护和保育、科研监测和宣传教育等设施设备，提高保护地规范化标准化建设水平，为资源保护管理提供基础保障。根据上位法制（修）订情况适时探索制定或完善与之相配套的地方性法律、法规。开</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展自然保护地科研监测工作，加强监测数据集成分析和综合应用，及时掌握各类自然保护地管理</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和保护成效。</w:t>
      </w:r>
    </w:p>
    <w:tbl>
      <w:tblPr>
        <w:tblStyle w:val="14"/>
        <w:tblW w:w="9071" w:type="dxa"/>
        <w:jc w:val="center"/>
        <w:tblInd w:w="0" w:type="dxa"/>
        <w:shd w:val="clear" w:color="auto" w:fill="auto"/>
        <w:tblLayout w:type="fixed"/>
        <w:tblCellMar>
          <w:top w:w="0" w:type="dxa"/>
          <w:left w:w="108" w:type="dxa"/>
          <w:bottom w:w="0" w:type="dxa"/>
          <w:right w:w="108" w:type="dxa"/>
        </w:tblCellMar>
      </w:tblPr>
      <w:tblGrid>
        <w:gridCol w:w="9065"/>
        <w:gridCol w:w="6"/>
      </w:tblGrid>
      <w:tr>
        <w:tblPrEx>
          <w:shd w:val="clear" w:color="auto" w:fill="auto"/>
          <w:tblLayout w:type="fixed"/>
          <w:tblCellMar>
            <w:top w:w="0" w:type="dxa"/>
            <w:left w:w="108" w:type="dxa"/>
            <w:bottom w:w="0" w:type="dxa"/>
            <w:right w:w="108" w:type="dxa"/>
          </w:tblCellMar>
        </w:tblPrEx>
        <w:trPr>
          <w:trHeight w:val="197" w:hRule="atLeast"/>
          <w:jc w:val="center"/>
        </w:trPr>
        <w:tc>
          <w:tcPr>
            <w:tcW w:w="9071" w:type="dxa"/>
            <w:gridSpan w:val="2"/>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方正楷体简体" w:hAnsi="方正楷体简体" w:eastAsia="方正楷体简体" w:cs="方正楷体简体"/>
                <w:b/>
                <w:bCs/>
                <w:i w:val="0"/>
                <w:iCs w:val="0"/>
                <w:color w:val="000000" w:themeColor="text1"/>
                <w:kern w:val="0"/>
                <w:sz w:val="21"/>
                <w:szCs w:val="21"/>
                <w:u w:val="none"/>
                <w:lang w:val="en-US" w:eastAsia="zh-CN" w:bidi="ar"/>
                <w14:textFill>
                  <w14:solidFill>
                    <w14:schemeClr w14:val="tx1"/>
                  </w14:solidFill>
                </w14:textFill>
              </w:rPr>
            </w:pPr>
            <w:r>
              <w:rPr>
                <w:rFonts w:hint="eastAsia" w:ascii="方正楷体简体" w:hAnsi="方正楷体简体" w:eastAsia="方正楷体简体" w:cs="方正楷体简体"/>
                <w:b/>
                <w:bCs/>
                <w:color w:val="000000" w:themeColor="text1"/>
                <w:sz w:val="24"/>
                <w:szCs w:val="24"/>
                <w14:textFill>
                  <w14:solidFill>
                    <w14:schemeClr w14:val="tx1"/>
                  </w14:solidFill>
                </w14:textFill>
              </w:rPr>
              <w:t>专栏</w:t>
            </w:r>
            <w:r>
              <w:rPr>
                <w:rFonts w:hint="eastAsia" w:ascii="方正楷体简体" w:hAnsi="方正楷体简体" w:eastAsia="方正楷体简体" w:cs="方正楷体简体"/>
                <w:b/>
                <w:bCs/>
                <w:color w:val="000000" w:themeColor="text1"/>
                <w:sz w:val="24"/>
                <w:szCs w:val="24"/>
                <w:lang w:val="en-US" w:eastAsia="zh-CN"/>
                <w14:textFill>
                  <w14:solidFill>
                    <w14:schemeClr w14:val="tx1"/>
                  </w14:solidFill>
                </w14:textFill>
              </w:rPr>
              <w:t>3</w:t>
            </w:r>
            <w:r>
              <w:rPr>
                <w:rFonts w:hint="eastAsia" w:ascii="方正楷体简体" w:hAnsi="方正楷体简体" w:eastAsia="方正楷体简体" w:cs="方正楷体简体"/>
                <w:b/>
                <w:bCs/>
                <w:color w:val="000000" w:themeColor="text1"/>
                <w:sz w:val="24"/>
                <w:szCs w:val="24"/>
                <w14:textFill>
                  <w14:solidFill>
                    <w14:schemeClr w14:val="tx1"/>
                  </w14:solidFill>
                </w14:textFill>
              </w:rPr>
              <w:t>-</w:t>
            </w:r>
            <w:r>
              <w:rPr>
                <w:rFonts w:hint="eastAsia" w:ascii="方正楷体简体" w:hAnsi="方正楷体简体" w:eastAsia="方正楷体简体" w:cs="方正楷体简体"/>
                <w:b/>
                <w:bCs/>
                <w:color w:val="000000" w:themeColor="text1"/>
                <w:sz w:val="24"/>
                <w:szCs w:val="24"/>
                <w:lang w:val="en-US" w:eastAsia="zh-CN"/>
                <w14:textFill>
                  <w14:solidFill>
                    <w14:schemeClr w14:val="tx1"/>
                  </w14:solidFill>
                </w14:textFill>
              </w:rPr>
              <w:t>2</w:t>
            </w:r>
            <w:r>
              <w:rPr>
                <w:rFonts w:hint="eastAsia" w:ascii="方正楷体简体" w:hAnsi="方正楷体简体" w:eastAsia="方正楷体简体" w:cs="方正楷体简体"/>
                <w:b/>
                <w:bCs/>
                <w:color w:val="000000" w:themeColor="text1"/>
                <w:sz w:val="24"/>
                <w:szCs w:val="24"/>
                <w14:textFill>
                  <w14:solidFill>
                    <w14:schemeClr w14:val="tx1"/>
                  </w14:solidFill>
                </w14:textFill>
              </w:rPr>
              <w:t>：</w:t>
            </w:r>
            <w:r>
              <w:rPr>
                <w:rFonts w:hint="eastAsia" w:ascii="方正楷体简体" w:hAnsi="方正楷体简体" w:eastAsia="方正楷体简体" w:cs="方正楷体简体"/>
                <w:b/>
                <w:bCs/>
                <w:color w:val="000000" w:themeColor="text1"/>
                <w:sz w:val="24"/>
                <w:szCs w:val="24"/>
                <w:highlight w:val="none"/>
                <w:lang w:val="en-US" w:eastAsia="zh-CN"/>
                <w14:textFill>
                  <w14:solidFill>
                    <w14:schemeClr w14:val="tx1"/>
                  </w14:solidFill>
                </w14:textFill>
              </w:rPr>
              <w:t>自然保护地</w:t>
            </w:r>
            <w:r>
              <w:rPr>
                <w:rFonts w:hint="eastAsia" w:ascii="方正楷体简体" w:hAnsi="方正楷体简体" w:eastAsia="方正楷体简体" w:cs="方正楷体简体"/>
                <w:b/>
                <w:bCs/>
                <w:color w:val="000000" w:themeColor="text1"/>
                <w:sz w:val="24"/>
                <w:szCs w:val="24"/>
                <w:lang w:val="en-US" w:eastAsia="zh-CN"/>
                <w14:textFill>
                  <w14:solidFill>
                    <w14:schemeClr w14:val="tx1"/>
                  </w14:solidFill>
                </w14:textFill>
              </w:rPr>
              <w:t>建设</w:t>
            </w:r>
            <w:r>
              <w:rPr>
                <w:rFonts w:hint="eastAsia" w:ascii="方正楷体简体" w:hAnsi="方正楷体简体" w:eastAsia="方正楷体简体" w:cs="方正楷体简体"/>
                <w:b/>
                <w:bCs/>
                <w:color w:val="000000" w:themeColor="text1"/>
                <w:sz w:val="24"/>
                <w:szCs w:val="24"/>
                <w14:textFill>
                  <w14:solidFill>
                    <w14:schemeClr w14:val="tx1"/>
                  </w14:solidFill>
                </w14:textFill>
              </w:rPr>
              <w:t>工程</w:t>
            </w:r>
          </w:p>
        </w:tc>
      </w:tr>
      <w:tr>
        <w:tblPrEx>
          <w:shd w:val="clear" w:color="auto" w:fill="auto"/>
          <w:tblLayout w:type="fixed"/>
          <w:tblCellMar>
            <w:top w:w="0" w:type="dxa"/>
            <w:left w:w="108" w:type="dxa"/>
            <w:bottom w:w="0" w:type="dxa"/>
            <w:right w:w="108" w:type="dxa"/>
          </w:tblCellMar>
        </w:tblPrEx>
        <w:trPr>
          <w:gridAfter w:val="1"/>
          <w:wAfter w:w="6" w:type="dxa"/>
          <w:trHeight w:val="454" w:hRule="atLeast"/>
          <w:jc w:val="center"/>
        </w:trPr>
        <w:tc>
          <w:tcPr>
            <w:tcW w:w="9065" w:type="dxa"/>
            <w:tcBorders>
              <w:top w:val="single" w:color="auto" w:sz="4" w:space="0"/>
              <w:left w:val="single" w:color="000000" w:sz="4" w:space="0"/>
              <w:bottom w:val="single" w:color="000000" w:sz="4" w:space="0"/>
              <w:right w:val="single" w:color="auto" w:sz="4" w:space="0"/>
            </w:tcBorders>
            <w:shd w:val="clear" w:color="auto" w:fill="auto"/>
            <w:vAlign w:val="center"/>
          </w:tcPr>
          <w:p>
            <w:pPr>
              <w:keepNext w:val="0"/>
              <w:keepLines w:val="0"/>
              <w:widowControl/>
              <w:numPr>
                <w:ilvl w:val="0"/>
                <w:numId w:val="6"/>
              </w:numPr>
              <w:suppressLineNumbers w:val="0"/>
              <w:jc w:val="left"/>
              <w:textAlignment w:val="center"/>
              <w:rPr>
                <w:rFonts w:hint="eastAsia" w:ascii="方正楷体简体" w:hAnsi="方正楷体简体" w:eastAsia="方正楷体简体" w:cs="方正楷体简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元谋县</w:t>
            </w:r>
            <w:r>
              <w:rPr>
                <w:rFonts w:hint="eastAsia" w:ascii="方正楷体简体" w:hAnsi="方正楷体简体" w:eastAsia="方正楷体简体" w:cs="方正楷体简体"/>
                <w:b/>
                <w:bCs/>
                <w:i w:val="0"/>
                <w:iCs w:val="0"/>
                <w:color w:val="000000" w:themeColor="text1"/>
                <w:kern w:val="0"/>
                <w:sz w:val="24"/>
                <w:szCs w:val="24"/>
                <w:highlight w:val="none"/>
                <w:u w:val="none"/>
                <w:lang w:val="en-US" w:eastAsia="zh-CN" w:bidi="ar"/>
                <w14:textFill>
                  <w14:solidFill>
                    <w14:schemeClr w14:val="tx1"/>
                  </w14:solidFill>
                </w14:textFill>
              </w:rPr>
              <w:t>自然保护地保</w:t>
            </w: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护与可持续发展建设项目:</w:t>
            </w:r>
            <w:r>
              <w:rPr>
                <w:rFonts w:hint="eastAsia" w:ascii="方正楷体简体" w:hAnsi="方正楷体简体" w:eastAsia="方正楷体简体" w:cs="方正楷体简体"/>
                <w:i w:val="0"/>
                <w:iCs w:val="0"/>
                <w:color w:val="000000" w:themeColor="text1"/>
                <w:kern w:val="0"/>
                <w:sz w:val="24"/>
                <w:szCs w:val="24"/>
                <w:highlight w:val="none"/>
                <w:u w:val="none"/>
                <w:lang w:val="en-US" w:eastAsia="zh-CN" w:bidi="ar"/>
                <w14:textFill>
                  <w14:solidFill>
                    <w14:schemeClr w14:val="tx1"/>
                  </w14:solidFill>
                </w14:textFill>
              </w:rPr>
              <w:t>在平田乡、物茂乡、新华乡，进行土林元谋土林省级地质自然公园建设：包含自然保护与生态恢复工程建设、科研监测工程建设、宣教工程建设、基础设施与配套工程建设；进行元谋风景名胜区建设：包含基础保护设施建设、科研建设、旅游服务中心建设，在元谋古人类博物馆的基础上，建立元谋遗址遗迹文化展示体系，建设热坝气候游览体系及避寒度假设施，建立健全旅游管理、游客接待、旅游应急中心。</w:t>
            </w:r>
          </w:p>
          <w:p>
            <w:pPr>
              <w:keepNext w:val="0"/>
              <w:keepLines w:val="0"/>
              <w:widowControl/>
              <w:numPr>
                <w:ilvl w:val="0"/>
                <w:numId w:val="6"/>
              </w:numPr>
              <w:suppressLineNumbers w:val="0"/>
              <w:jc w:val="left"/>
              <w:textAlignment w:val="center"/>
              <w:rPr>
                <w:rFonts w:hint="default"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元谋县自然公园智慧管护项目：</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在平田乡、物茂乡、新华乡，新整合优化元谋土林省级地质自然公园建设大数据平台，自然公园“一张图”和资源数据库建设，视频监控系统建设，公园基础设施建设，野外巡护监测管理和科普宣教系统建设。</w:t>
            </w:r>
          </w:p>
        </w:tc>
      </w:tr>
    </w:tbl>
    <w:p>
      <w:pPr>
        <w:rPr>
          <w:rFonts w:hint="eastAsia"/>
          <w:color w:val="000000" w:themeColor="text1"/>
          <w:lang w:val="en-US" w:eastAsia="zh-CN"/>
          <w14:textFill>
            <w14:solidFill>
              <w14:schemeClr w14:val="tx1"/>
            </w14:solidFill>
          </w14:textFill>
        </w:rPr>
      </w:pPr>
    </w:p>
    <w:p>
      <w:pPr>
        <w:pStyle w:val="5"/>
        <w:keepNext/>
        <w:keepLines/>
        <w:pageBreakBefore w:val="0"/>
        <w:widowControl/>
        <w:kinsoku/>
        <w:wordWrap/>
        <w:overflowPunct/>
        <w:topLinePunct w:val="0"/>
        <w:autoSpaceDE/>
        <w:autoSpaceDN/>
        <w:bidi w:val="0"/>
        <w:adjustRightInd/>
        <w:snapToGrid/>
        <w:spacing w:before="194" w:beforeLines="50" w:after="194" w:afterLines="50" w:line="600" w:lineRule="exact"/>
        <w:jc w:val="center"/>
        <w:textAlignment w:val="auto"/>
        <w:rPr>
          <w:rFonts w:hint="eastAsia" w:ascii="方正小标宋简体" w:hAnsi="方正小标宋简体" w:eastAsia="方正小标宋简体" w:cs="方正小标宋简体"/>
          <w:b w:val="0"/>
          <w:bCs w:val="0"/>
          <w:color w:val="000000" w:themeColor="text1"/>
          <w:kern w:val="0"/>
          <w:sz w:val="36"/>
          <w:szCs w:val="36"/>
          <w:lang w:val="en-US" w:eastAsia="zh-CN" w:bidi="ar-SA"/>
          <w14:textFill>
            <w14:solidFill>
              <w14:schemeClr w14:val="tx1"/>
            </w14:solidFill>
          </w14:textFill>
        </w:rPr>
      </w:pPr>
      <w:bookmarkStart w:id="53" w:name="_Toc18119"/>
      <w:bookmarkStart w:id="54" w:name="_Toc12913"/>
      <w:r>
        <w:rPr>
          <w:rFonts w:hint="eastAsia" w:ascii="方正小标宋简体" w:hAnsi="方正小标宋简体" w:eastAsia="方正小标宋简体" w:cs="方正小标宋简体"/>
          <w:b w:val="0"/>
          <w:bCs w:val="0"/>
          <w:color w:val="000000" w:themeColor="text1"/>
          <w:kern w:val="0"/>
          <w:sz w:val="36"/>
          <w:szCs w:val="36"/>
          <w:lang w:val="en-US" w:eastAsia="zh-CN" w:bidi="ar-SA"/>
          <w14:textFill>
            <w14:solidFill>
              <w14:schemeClr w14:val="tx1"/>
            </w14:solidFill>
          </w14:textFill>
        </w:rPr>
        <w:t>第三节  加强野生动物保护</w:t>
      </w:r>
      <w:bookmarkEnd w:id="53"/>
      <w:bookmarkEnd w:id="54"/>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对野生动物资源及栖息地状况进行调查、监测和评估，建立健全资源档案。构建协调统一的野生动物资源及其栖息地状况监测体系，开展野生动物资源监测信息化建设，完善基础信息数据库。实施野生动物公众责任保险，完善野生动物损害补偿制度，稳定保险资金投入，维护人与“动物”和谐。</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同时，根据《国家重点保护野生动物名录》，结合元谋的实际情况，优先实施弥猴、领角鸮、灰林鸮、鹦鹉、锦鸡、隼等重要野生动物栖息地保护修复，强化重要鸟类迁飞通道保护，连通生态廊道，扩大栖息地范围，完善野生动物救护体系，开展极小种群保护、人工扩繁、野外放归，确保野外种群稳中有升推广公益保护地模式，加强巡护力度。采取人工干预措施修复受损栖息地，提升栖息地质量。规范开展野生动物收容救护，实施重要物种人工繁育和野化放归。增设珍稀濒危野生动物救护站点和保护研究中心，提升救护水平，建立稳定的人工种群。抢救性保存珍稀濒危物种遗传物质，对濒危野生动物开展遗传资源采集、保存及研究工作。</w:t>
      </w:r>
    </w:p>
    <w:p>
      <w:pPr>
        <w:pStyle w:val="5"/>
        <w:keepNext/>
        <w:keepLines/>
        <w:pageBreakBefore w:val="0"/>
        <w:widowControl/>
        <w:kinsoku/>
        <w:wordWrap/>
        <w:overflowPunct/>
        <w:topLinePunct w:val="0"/>
        <w:autoSpaceDE/>
        <w:autoSpaceDN/>
        <w:bidi w:val="0"/>
        <w:adjustRightInd/>
        <w:snapToGrid/>
        <w:spacing w:before="194" w:beforeLines="50" w:after="194" w:afterLines="50" w:line="600" w:lineRule="exact"/>
        <w:jc w:val="center"/>
        <w:textAlignment w:val="auto"/>
        <w:rPr>
          <w:rFonts w:hint="eastAsia" w:ascii="方正小标宋简体" w:hAnsi="方正小标宋简体" w:eastAsia="方正小标宋简体" w:cs="方正小标宋简体"/>
          <w:b w:val="0"/>
          <w:bCs w:val="0"/>
          <w:color w:val="000000" w:themeColor="text1"/>
          <w:kern w:val="0"/>
          <w:sz w:val="36"/>
          <w:szCs w:val="36"/>
          <w:lang w:val="en-US" w:eastAsia="zh-CN" w:bidi="ar-SA"/>
          <w14:textFill>
            <w14:solidFill>
              <w14:schemeClr w14:val="tx1"/>
            </w14:solidFill>
          </w14:textFill>
        </w:rPr>
      </w:pPr>
      <w:bookmarkStart w:id="55" w:name="_Toc9480"/>
      <w:bookmarkStart w:id="56" w:name="_Toc20450"/>
      <w:r>
        <w:rPr>
          <w:rFonts w:hint="eastAsia" w:ascii="方正小标宋简体" w:hAnsi="方正小标宋简体" w:eastAsia="方正小标宋简体" w:cs="方正小标宋简体"/>
          <w:b w:val="0"/>
          <w:bCs w:val="0"/>
          <w:color w:val="000000" w:themeColor="text1"/>
          <w:kern w:val="0"/>
          <w:sz w:val="36"/>
          <w:szCs w:val="36"/>
          <w:lang w:val="en-US" w:eastAsia="zh-CN" w:bidi="ar-SA"/>
          <w14:textFill>
            <w14:solidFill>
              <w14:schemeClr w14:val="tx1"/>
            </w14:solidFill>
          </w14:textFill>
        </w:rPr>
        <w:t>第四节  加强野生植物保护</w:t>
      </w:r>
      <w:bookmarkEnd w:id="55"/>
      <w:bookmarkEnd w:id="56"/>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对元谋县境内野生植物普查，建立云南梧桐、红椿、毛红椿、龙棕等种质资源库，划定未纳入</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自然保护地的濒</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危野生植物原生境保护点。修复受损生境，以自然恢复为主，辅以人工促进恢复等人工措施，逐步恢复生态系统功能。采取调整树种比例、控制竞争植物、清除外来物种等方法，构建濒危野生植物最佳的生存环境。继续实施极小种群野生植物保护项目，开展迁地保护和近地保护基地建设。完成第三次野生植物资源调查，全面掌握物种种群和生境状况、保护状况等。补充设立野外监测站点，建立健全资源档案。</w:t>
      </w:r>
    </w:p>
    <w:p>
      <w:pPr>
        <w:pStyle w:val="8"/>
        <w:ind w:left="0" w:leftChars="0" w:firstLine="0" w:firstLineChars="0"/>
        <w:rPr>
          <w:color w:val="000000" w:themeColor="text1"/>
          <w14:textFill>
            <w14:solidFill>
              <w14:schemeClr w14:val="tx1"/>
            </w14:solidFill>
          </w14:textFill>
        </w:rPr>
      </w:pPr>
    </w:p>
    <w:tbl>
      <w:tblPr>
        <w:tblStyle w:val="14"/>
        <w:tblW w:w="9071" w:type="dxa"/>
        <w:jc w:val="center"/>
        <w:tblInd w:w="0" w:type="dxa"/>
        <w:shd w:val="clear" w:color="auto" w:fill="auto"/>
        <w:tblLayout w:type="fixed"/>
        <w:tblCellMar>
          <w:top w:w="0" w:type="dxa"/>
          <w:left w:w="108" w:type="dxa"/>
          <w:bottom w:w="0" w:type="dxa"/>
          <w:right w:w="108" w:type="dxa"/>
        </w:tblCellMar>
      </w:tblPr>
      <w:tblGrid>
        <w:gridCol w:w="9071"/>
      </w:tblGrid>
      <w:tr>
        <w:tblPrEx>
          <w:shd w:val="clear" w:color="auto" w:fill="auto"/>
          <w:tblLayout w:type="fixed"/>
          <w:tblCellMar>
            <w:top w:w="0" w:type="dxa"/>
            <w:left w:w="108" w:type="dxa"/>
            <w:bottom w:w="0" w:type="dxa"/>
            <w:right w:w="108" w:type="dxa"/>
          </w:tblCellMar>
        </w:tblPrEx>
        <w:trPr>
          <w:trHeight w:val="198" w:hRule="atLeast"/>
          <w:jc w:val="center"/>
        </w:trPr>
        <w:tc>
          <w:tcPr>
            <w:tcW w:w="9071"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方正楷体简体" w:hAnsi="方正楷体简体" w:eastAsia="方正楷体简体" w:cs="方正楷体简体"/>
                <w:b/>
                <w:bCs/>
                <w:i w:val="0"/>
                <w:iCs w:val="0"/>
                <w:color w:val="000000" w:themeColor="text1"/>
                <w:kern w:val="0"/>
                <w:sz w:val="21"/>
                <w:szCs w:val="21"/>
                <w:u w:val="none"/>
                <w:lang w:val="en-US" w:eastAsia="zh-CN" w:bidi="ar"/>
                <w14:textFill>
                  <w14:solidFill>
                    <w14:schemeClr w14:val="tx1"/>
                  </w14:solidFill>
                </w14:textFill>
              </w:rPr>
            </w:pPr>
            <w:r>
              <w:rPr>
                <w:rFonts w:hint="eastAsia" w:ascii="方正楷体简体" w:hAnsi="方正楷体简体" w:eastAsia="方正楷体简体" w:cs="方正楷体简体"/>
                <w:b/>
                <w:bCs/>
                <w:color w:val="000000" w:themeColor="text1"/>
                <w:sz w:val="24"/>
                <w:szCs w:val="24"/>
                <w14:textFill>
                  <w14:solidFill>
                    <w14:schemeClr w14:val="tx1"/>
                  </w14:solidFill>
                </w14:textFill>
              </w:rPr>
              <w:t>专栏</w:t>
            </w:r>
            <w:r>
              <w:rPr>
                <w:rFonts w:hint="eastAsia" w:ascii="方正楷体简体" w:hAnsi="方正楷体简体" w:eastAsia="方正楷体简体" w:cs="方正楷体简体"/>
                <w:b/>
                <w:bCs/>
                <w:color w:val="000000" w:themeColor="text1"/>
                <w:sz w:val="24"/>
                <w:szCs w:val="24"/>
                <w:lang w:val="en-US" w:eastAsia="zh-CN"/>
                <w14:textFill>
                  <w14:solidFill>
                    <w14:schemeClr w14:val="tx1"/>
                  </w14:solidFill>
                </w14:textFill>
              </w:rPr>
              <w:t>4</w:t>
            </w:r>
            <w:r>
              <w:rPr>
                <w:rFonts w:hint="eastAsia" w:ascii="方正楷体简体" w:hAnsi="方正楷体简体" w:eastAsia="方正楷体简体" w:cs="方正楷体简体"/>
                <w:b/>
                <w:bCs/>
                <w:color w:val="000000" w:themeColor="text1"/>
                <w:sz w:val="24"/>
                <w:szCs w:val="24"/>
                <w14:textFill>
                  <w14:solidFill>
                    <w14:schemeClr w14:val="tx1"/>
                  </w14:solidFill>
                </w14:textFill>
              </w:rPr>
              <w:t>-1：</w:t>
            </w:r>
            <w:r>
              <w:rPr>
                <w:rFonts w:hint="eastAsia" w:ascii="方正楷体简体" w:hAnsi="方正楷体简体" w:eastAsia="方正楷体简体" w:cs="方正楷体简体"/>
                <w:b/>
                <w:bCs/>
                <w:color w:val="000000" w:themeColor="text1"/>
                <w:sz w:val="24"/>
                <w:szCs w:val="24"/>
                <w:lang w:val="en-US" w:eastAsia="zh-CN"/>
                <w14:textFill>
                  <w14:solidFill>
                    <w14:schemeClr w14:val="tx1"/>
                  </w14:solidFill>
                </w14:textFill>
              </w:rPr>
              <w:t>野生动植物保护</w:t>
            </w:r>
          </w:p>
        </w:tc>
      </w:tr>
      <w:tr>
        <w:tblPrEx>
          <w:shd w:val="clear" w:color="auto" w:fill="auto"/>
          <w:tblLayout w:type="fixed"/>
          <w:tblCellMar>
            <w:top w:w="0" w:type="dxa"/>
            <w:left w:w="108" w:type="dxa"/>
            <w:bottom w:w="0" w:type="dxa"/>
            <w:right w:w="108" w:type="dxa"/>
          </w:tblCellMar>
        </w:tblPrEx>
        <w:trPr>
          <w:trHeight w:val="198" w:hRule="atLeast"/>
          <w:jc w:val="center"/>
        </w:trPr>
        <w:tc>
          <w:tcPr>
            <w:tcW w:w="9071" w:type="dxa"/>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widowControl/>
              <w:numPr>
                <w:ilvl w:val="0"/>
                <w:numId w:val="7"/>
              </w:numPr>
              <w:suppressLineNumbers w:val="0"/>
              <w:jc w:val="left"/>
              <w:textAlignment w:val="cente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野生动植物生物多样性保护与可持续发展项目：</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境内野生植物普查，建立云南梧桐、红椿、毛红椿、龙棕、松茸等种质资源库。</w:t>
            </w:r>
          </w:p>
          <w:p>
            <w:pPr>
              <w:keepNext w:val="0"/>
              <w:keepLines w:val="0"/>
              <w:widowControl/>
              <w:numPr>
                <w:ilvl w:val="0"/>
                <w:numId w:val="7"/>
              </w:numPr>
              <w:suppressLineNumbers w:val="0"/>
              <w:jc w:val="left"/>
              <w:textAlignment w:val="center"/>
              <w:rPr>
                <w:rFonts w:hint="eastAsia" w:ascii="方正楷体简体" w:hAnsi="方正楷体简体" w:eastAsia="方正楷体简体" w:cs="方正楷体简体"/>
                <w:b/>
                <w:bCs/>
                <w:color w:val="000000" w:themeColor="text1"/>
                <w:sz w:val="24"/>
                <w:szCs w:val="24"/>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野生动物监测信息化与管理体系项目：</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建立266.7公顷弥猴保护区，通过对勐岗河、蜻蛉河流域境内弥猴等野生动物科学规范的巡护监测，调查其在该流域的生存和生境情况，为弥猴保护提供准确的一手数据和材料；规划10条野生动物巡护监测样线，通过一年四次的定期监测，记录野生动物的活动情况，调查野生动物的生境恢复情况；成立20人的专业巡护监测队伍，培训业务骨干和专业巡护监测队员，规划巡护监测路线，制定巡护监测制度，购置相关设备设施及装备。</w:t>
            </w:r>
          </w:p>
        </w:tc>
      </w:tr>
    </w:tbl>
    <w:p>
      <w:pPr>
        <w:keepNext w:val="0"/>
        <w:keepLines w:val="0"/>
        <w:pageBreakBefore w:val="0"/>
        <w:widowControl w:val="0"/>
        <w:kinsoku/>
        <w:wordWrap/>
        <w:overflowPunct/>
        <w:topLinePunct w:val="0"/>
        <w:autoSpaceDE w:val="0"/>
        <w:autoSpaceDN w:val="0"/>
        <w:bidi w:val="0"/>
        <w:adjustRightInd w:val="0"/>
        <w:snapToGrid/>
        <w:spacing w:before="160" w:beforeLines="50" w:after="160" w:afterLines="50" w:line="600" w:lineRule="exact"/>
        <w:jc w:val="center"/>
        <w:textAlignment w:val="auto"/>
        <w:outlineLvl w:val="0"/>
        <w:rPr>
          <w:rFonts w:hint="eastAsia" w:ascii="方正小标宋简体" w:hAnsi="方正小标宋简体" w:eastAsia="方正小标宋简体" w:cs="方正小标宋简体"/>
          <w:bCs/>
          <w:color w:val="000000" w:themeColor="text1"/>
          <w:kern w:val="44"/>
          <w:sz w:val="44"/>
          <w:szCs w:val="44"/>
          <w:lang w:val="en-US" w:eastAsia="zh-CN" w:bidi="ar"/>
          <w14:textFill>
            <w14:solidFill>
              <w14:schemeClr w14:val="tx1"/>
            </w14:solidFill>
          </w14:textFill>
        </w:rPr>
      </w:pPr>
      <w:bookmarkStart w:id="57" w:name="_Toc16815"/>
      <w:bookmarkStart w:id="58" w:name="_Toc7862"/>
    </w:p>
    <w:p>
      <w:pPr>
        <w:keepNext w:val="0"/>
        <w:keepLines w:val="0"/>
        <w:pageBreakBefore w:val="0"/>
        <w:widowControl w:val="0"/>
        <w:kinsoku/>
        <w:wordWrap/>
        <w:overflowPunct/>
        <w:topLinePunct w:val="0"/>
        <w:autoSpaceDE w:val="0"/>
        <w:autoSpaceDN w:val="0"/>
        <w:bidi w:val="0"/>
        <w:adjustRightInd w:val="0"/>
        <w:snapToGrid/>
        <w:spacing w:before="160" w:beforeLines="50" w:after="160" w:afterLines="50" w:line="600" w:lineRule="exact"/>
        <w:jc w:val="center"/>
        <w:textAlignment w:val="auto"/>
        <w:outlineLvl w:val="0"/>
        <w:rPr>
          <w:rFonts w:hint="eastAsia" w:ascii="方正小标宋简体" w:hAnsi="方正小标宋简体" w:eastAsia="方正小标宋简体" w:cs="方正小标宋简体"/>
          <w:bCs/>
          <w:color w:val="000000" w:themeColor="text1"/>
          <w:kern w:val="44"/>
          <w:sz w:val="44"/>
          <w:szCs w:val="44"/>
          <w:lang w:val="en-US" w:eastAsia="zh-CN" w:bidi="ar"/>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spacing w:before="160" w:beforeLines="50" w:after="160" w:afterLines="50" w:line="600" w:lineRule="exact"/>
        <w:jc w:val="center"/>
        <w:textAlignment w:val="auto"/>
        <w:outlineLvl w:val="0"/>
        <w:rPr>
          <w:rFonts w:hint="eastAsia" w:ascii="方正小标宋简体" w:hAnsi="方正小标宋简体" w:eastAsia="方正小标宋简体" w:cs="方正小标宋简体"/>
          <w:bCs/>
          <w:color w:val="000000" w:themeColor="text1"/>
          <w:kern w:val="44"/>
          <w:sz w:val="44"/>
          <w:szCs w:val="44"/>
          <w:lang w:val="en-US" w:eastAsia="zh-CN" w:bidi="ar"/>
          <w14:textFill>
            <w14:solidFill>
              <w14:schemeClr w14:val="tx1"/>
            </w14:solidFill>
          </w14:textFill>
        </w:rPr>
      </w:pPr>
      <w:r>
        <w:rPr>
          <w:rFonts w:hint="eastAsia" w:ascii="方正小标宋简体" w:hAnsi="方正小标宋简体" w:eastAsia="方正小标宋简体" w:cs="方正小标宋简体"/>
          <w:bCs/>
          <w:color w:val="000000" w:themeColor="text1"/>
          <w:kern w:val="44"/>
          <w:sz w:val="44"/>
          <w:szCs w:val="44"/>
          <w:lang w:val="en-US" w:eastAsia="zh-CN" w:bidi="ar"/>
          <w14:textFill>
            <w14:solidFill>
              <w14:schemeClr w14:val="tx1"/>
            </w14:solidFill>
          </w14:textFill>
        </w:rPr>
        <w:t>第五章 发展生态富民产业</w:t>
      </w:r>
      <w:bookmarkEnd w:id="57"/>
      <w:bookmarkEnd w:id="58"/>
    </w:p>
    <w:p>
      <w:pPr>
        <w:pStyle w:val="5"/>
        <w:keepNext/>
        <w:keepLines/>
        <w:pageBreakBefore w:val="0"/>
        <w:widowControl/>
        <w:kinsoku/>
        <w:wordWrap/>
        <w:overflowPunct/>
        <w:topLinePunct w:val="0"/>
        <w:autoSpaceDE/>
        <w:autoSpaceDN/>
        <w:bidi w:val="0"/>
        <w:adjustRightInd/>
        <w:snapToGrid/>
        <w:spacing w:before="194" w:beforeLines="50" w:after="194" w:afterLines="50" w:line="600" w:lineRule="exact"/>
        <w:jc w:val="center"/>
        <w:textAlignment w:val="auto"/>
        <w:rPr>
          <w:rFonts w:hint="eastAsia" w:ascii="方正小标宋简体" w:hAnsi="方正小标宋简体" w:eastAsia="方正小标宋简体" w:cs="方正小标宋简体"/>
          <w:b w:val="0"/>
          <w:bCs w:val="0"/>
          <w:color w:val="000000" w:themeColor="text1"/>
          <w:kern w:val="0"/>
          <w:sz w:val="36"/>
          <w:szCs w:val="36"/>
          <w:lang w:val="en-US" w:eastAsia="zh-CN" w:bidi="ar-SA"/>
          <w14:textFill>
            <w14:solidFill>
              <w14:schemeClr w14:val="tx1"/>
            </w14:solidFill>
          </w14:textFill>
        </w:rPr>
      </w:pPr>
      <w:bookmarkStart w:id="59" w:name="_Toc6232"/>
      <w:bookmarkStart w:id="60" w:name="_Toc29452"/>
      <w:r>
        <w:rPr>
          <w:rFonts w:hint="eastAsia" w:ascii="方正小标宋简体" w:hAnsi="方正小标宋简体" w:eastAsia="方正小标宋简体" w:cs="方正小标宋简体"/>
          <w:b w:val="0"/>
          <w:bCs w:val="0"/>
          <w:color w:val="000000" w:themeColor="text1"/>
          <w:kern w:val="0"/>
          <w:sz w:val="36"/>
          <w:szCs w:val="36"/>
          <w:lang w:val="en-US" w:eastAsia="zh-CN" w:bidi="ar-SA"/>
          <w14:textFill>
            <w14:solidFill>
              <w14:schemeClr w14:val="tx1"/>
            </w14:solidFill>
          </w14:textFill>
        </w:rPr>
        <w:t>第一节 做优做强林草产业</w:t>
      </w:r>
      <w:bookmarkEnd w:id="59"/>
      <w:bookmarkEnd w:id="60"/>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坚持绿色发展、生态惠民，发挥林草资源优势，发展特色产业，提升林草装备水平，推进做强做优林草产业。</w:t>
      </w:r>
    </w:p>
    <w:p>
      <w:pPr>
        <w:rPr>
          <w:rFonts w:hint="eastAsia"/>
          <w:color w:val="000000" w:themeColor="text1"/>
          <w:lang w:val="en-US" w:eastAsia="zh-CN"/>
          <w14:textFill>
            <w14:solidFill>
              <w14:schemeClr w14:val="tx1"/>
            </w14:solidFill>
          </w14:textFill>
        </w:rPr>
      </w:pPr>
    </w:p>
    <w:p>
      <w:pPr>
        <w:pStyle w:val="8"/>
        <w:ind w:left="0" w:leftChars="0" w:firstLine="0" w:firstLineChars="0"/>
        <w:rPr>
          <w:color w:val="000000" w:themeColor="text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4635500</wp:posOffset>
                </wp:positionH>
                <wp:positionV relativeFrom="paragraph">
                  <wp:posOffset>327025</wp:posOffset>
                </wp:positionV>
                <wp:extent cx="812800" cy="273050"/>
                <wp:effectExtent l="4445" t="4445" r="5715" b="12065"/>
                <wp:wrapNone/>
                <wp:docPr id="4" name="文本框 4"/>
                <wp:cNvGraphicFramePr/>
                <a:graphic xmlns:a="http://schemas.openxmlformats.org/drawingml/2006/main">
                  <a:graphicData uri="http://schemas.microsoft.com/office/word/2010/wordprocessingShape">
                    <wps:wsp>
                      <wps:cNvSpPr txBox="1"/>
                      <wps:spPr>
                        <a:xfrm>
                          <a:off x="0" y="0"/>
                          <a:ext cx="812800" cy="273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楷体简体" w:hAnsi="方正楷体简体" w:eastAsia="方正楷体简体" w:cs="方正楷体简体"/>
                                <w:b/>
                                <w:bCs/>
                                <w:lang w:val="en-US" w:eastAsia="zh-CN"/>
                              </w:rPr>
                            </w:pPr>
                            <w:r>
                              <w:rPr>
                                <w:rFonts w:hint="eastAsia" w:ascii="方正楷体简体" w:hAnsi="方正楷体简体" w:eastAsia="方正楷体简体" w:cs="方正楷体简体"/>
                                <w:b/>
                                <w:bCs/>
                                <w:lang w:val="en-US" w:eastAsia="zh-CN"/>
                              </w:rPr>
                              <w:t>单位：万元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pt;margin-top:25.75pt;height:21.5pt;width:64pt;z-index:251663360;mso-width-relative:page;mso-height-relative:page;" fillcolor="#FFFFFF [3201]" filled="t" stroked="t" coordsize="21600,21600" o:gfxdata="UEsDBAoAAAAAAIdO4kAAAAAAAAAAAAAAAAAEAAAAZHJzL1BLAwQUAAAACACHTuJAAThSrNcAAAAJ&#10;AQAADwAAAGRycy9kb3ducmV2LnhtbE2PzU7DMBCE70i8g7VI3KidhpQQsqkEEhLiRpsLNzfeJhH+&#10;iWK3KW/PcoLj7Ixmv6m3F2fFmeY4Bo+QrRQI8l0wo+8R2v3rXQkiJu2NtsETwjdF2DbXV7WuTFj8&#10;B513qRdc4mOlEYaUpkrK2A3kdFyFiTx7xzA7nVjOvTSzXrjcWblWaiOdHj1/GPRELwN1X7uTQ3jb&#10;PKdPas27ydd5WFrZzUcbEW9vMvUEItEl/YXhF5/RoWGmQzh5E4VFeMgVb0kIRVaA4EBZlHw4IDze&#10;FyCbWv5f0PwAUEsDBBQAAAAIAIdO4kC7Kd5mPAIAAGgEAAAOAAAAZHJzL2Uyb0RvYy54bWytVM2O&#10;0zAQviPxDpbvNGm3u1uqpqvSVRFSxa5UEGfHsVsLx2Nst0l5AHgDTly481x9DsbuzxbKCZGDM+OZ&#10;fDPzzUxGd22tyUY4r8AUtNvJKRGGQ6XMsqDv381eDCjxgZmKaTCioFvh6d34+bNRY4eiByvQlXAE&#10;QYwfNragqxDsMMs8X4ma+Q5YYdAowdUsoOqWWeVYg+i1znp5fpM14CrrgAvv8fZ+b6TjhC+l4OFB&#10;Si8C0QXF3EI6XTrLeGbjERsuHbMrxQ9psH/IombKYNAT1D0LjKyduoCqFXfgQYYOhzoDKRUXqQas&#10;ppv/Uc1ixaxItSA53p5o8v8Plr/dPDqiqoL2KTGsxhbtvn3dff+5+/GF9CM9jfVD9FpY9AvtK2ix&#10;zcd7j5ex6la6Or6xHoJ2JHp7Ile0gXC8HHR7gxwtHE2926v8OpGfPX1snQ+vBdQkCgV12LtEKdvM&#10;fcBE0PXoEmN50KqaKa2T4pblVDuyYdjnWXpijvjJb27akKagN1cY+wIiYp8gSs34x0sExNMGYSMn&#10;+9qjFNqyPRBVQrVFnhzsB81bPlOIO2c+PDKHk4UE4LaEBzykBkwGDhIlK3Cf/3Yf/bHhaKWkwUkt&#10;qP+0Zk5Qot8YHIWX3X4/jnZS+te3PVTcuaU8t5h1PQUkqYt7aXkSo3/QR1E6qD/gUk1iVDQxwzF2&#10;QcNRnIb9/uBScjGZJCccZsvC3Cwsj9CRXAOTdQCpUusiTXtuDuzhOKf2HFYv7su5nryefhDj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E4UqzXAAAACQEAAA8AAAAAAAAAAQAgAAAAIgAAAGRycy9k&#10;b3ducmV2LnhtbFBLAQIUABQAAAAIAIdO4kC7Kd5mPAIAAGgEAAAOAAAAAAAAAAEAIAAAACYBAABk&#10;cnMvZTJvRG9jLnhtbFBLBQYAAAAABgAGAFkBAADUBQAAAAA=&#10;">
                <v:fill on="t" focussize="0,0"/>
                <v:stroke weight="0.5pt" color="#000000 [3204]" joinstyle="round"/>
                <v:imagedata o:title=""/>
                <o:lock v:ext="edit" aspectratio="f"/>
                <v:textbox>
                  <w:txbxContent>
                    <w:p>
                      <w:pPr>
                        <w:rPr>
                          <w:rFonts w:hint="eastAsia" w:ascii="方正楷体简体" w:hAnsi="方正楷体简体" w:eastAsia="方正楷体简体" w:cs="方正楷体简体"/>
                          <w:b/>
                          <w:bCs/>
                          <w:lang w:val="en-US" w:eastAsia="zh-CN"/>
                        </w:rPr>
                      </w:pPr>
                      <w:r>
                        <w:rPr>
                          <w:rFonts w:hint="eastAsia" w:ascii="方正楷体简体" w:hAnsi="方正楷体简体" w:eastAsia="方正楷体简体" w:cs="方正楷体简体"/>
                          <w:b/>
                          <w:bCs/>
                          <w:lang w:val="en-US" w:eastAsia="zh-CN"/>
                        </w:rPr>
                        <w:t>单位：万元</w:t>
                      </w:r>
                    </w:p>
                  </w:txbxContent>
                </v:textbox>
              </v:shape>
            </w:pict>
          </mc:Fallback>
        </mc:AlternateContent>
      </w:r>
      <w:r>
        <w:rPr>
          <w:color w:val="000000" w:themeColor="text1"/>
          <w14:textFill>
            <w14:solidFill>
              <w14:schemeClr w14:val="tx1"/>
            </w14:solidFill>
          </w14:textFill>
        </w:rPr>
        <w:drawing>
          <wp:inline distT="0" distB="0" distL="114300" distR="114300">
            <wp:extent cx="5577205" cy="2499995"/>
            <wp:effectExtent l="4445" t="4445" r="19050" b="10160"/>
            <wp:docPr id="18052" name="图表 18051" descr="7b0a202020202263686172745265734964223a2022383733373033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jc w:val="center"/>
        <w:rPr>
          <w:rFonts w:hint="eastAsia" w:ascii="方正楷体简体" w:hAnsi="方正楷体简体" w:eastAsia="方正楷体简体" w:cs="方正楷体简体"/>
          <w:b/>
          <w:bCs/>
          <w:color w:val="000000" w:themeColor="text1"/>
          <w:sz w:val="24"/>
          <w:szCs w:val="22"/>
          <w:lang w:val="en-US" w:eastAsia="zh-CN"/>
          <w14:textFill>
            <w14:solidFill>
              <w14:schemeClr w14:val="tx1"/>
            </w14:solidFill>
          </w14:textFill>
        </w:rPr>
      </w:pPr>
      <w:r>
        <w:rPr>
          <w:rFonts w:hint="eastAsia" w:ascii="方正楷体简体" w:hAnsi="方正楷体简体" w:eastAsia="方正楷体简体" w:cs="方正楷体简体"/>
          <w:b/>
          <w:bCs/>
          <w:color w:val="000000" w:themeColor="text1"/>
          <w:sz w:val="24"/>
          <w:szCs w:val="22"/>
          <w:lang w:val="en-US" w:eastAsia="zh-CN"/>
          <w14:textFill>
            <w14:solidFill>
              <w14:schemeClr w14:val="tx1"/>
            </w14:solidFill>
          </w14:textFill>
        </w:rPr>
        <w:t>图5-1  “十四五”林草产业重点工程计划项目投资金额</w:t>
      </w:r>
    </w:p>
    <w:p>
      <w:pPr>
        <w:pStyle w:val="6"/>
        <w:pageBreakBefore w:val="0"/>
        <w:widowControl w:val="0"/>
        <w:kinsoku/>
        <w:wordWrap/>
        <w:overflowPunct/>
        <w:topLinePunct w:val="0"/>
        <w:autoSpaceDE/>
        <w:autoSpaceDN/>
        <w:bidi w:val="0"/>
        <w:adjustRightInd/>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一、发展壮大特色产业</w:t>
      </w:r>
    </w:p>
    <w:p>
      <w:pPr>
        <w:pStyle w:val="38"/>
        <w:pageBreakBefore w:val="0"/>
        <w:widowControl w:val="0"/>
        <w:kinsoku/>
        <w:wordWrap/>
        <w:overflowPunct/>
        <w:topLinePunct w:val="0"/>
        <w:autoSpaceDE/>
        <w:autoSpaceDN/>
        <w:bidi w:val="0"/>
        <w:adjustRightInd/>
        <w:spacing w:line="600" w:lineRule="exact"/>
        <w:ind w:firstLine="640"/>
        <w:textAlignment w:val="auto"/>
        <w:rPr>
          <w:rFonts w:hint="eastAsia" w:ascii="楷体_GB2312" w:hAnsi="楷体_GB2312" w:eastAsia="楷体_GB2312" w:cs="楷体_GB2312"/>
          <w:b w:val="0"/>
          <w:bCs w:val="0"/>
          <w:color w:val="000000" w:themeColor="text1"/>
          <w:lang w:val="en-US" w:eastAsia="zh-CN"/>
          <w14:textFill>
            <w14:solidFill>
              <w14:schemeClr w14:val="tx1"/>
            </w14:solidFill>
          </w14:textFill>
        </w:rPr>
      </w:pPr>
      <w:r>
        <w:rPr>
          <w:rFonts w:hint="eastAsia" w:ascii="楷体_GB2312" w:hAnsi="楷体_GB2312" w:eastAsia="楷体_GB2312" w:cs="楷体_GB2312"/>
          <w:b w:val="0"/>
          <w:bCs w:val="0"/>
          <w:color w:val="000000" w:themeColor="text1"/>
          <w:lang w:val="en-US" w:eastAsia="zh-CN"/>
          <w14:textFill>
            <w14:solidFill>
              <w14:schemeClr w14:val="tx1"/>
            </w14:solidFill>
          </w14:textFill>
        </w:rPr>
        <w:t>（一）建设林业产业项目</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着力打造“元谋特色产业集群”区域公用品牌，着力创建国内乃至世界一流的绿色品牌，实现产业可持续发展和果农增产增收。打造凤梨释迦、牛油果、芒果、澳洲坚果等热带亚热带特色经济林果基地；规划建设黄檀、紫檀等珍贵用材林示范基地；规划建设野生滇橄榄资源保护与开发利用示范基地；规划花椒提质增效改造项目；规划种植沃柑等优质柑桔基地；规划种植优质冬桃项目；规划水蜜桃提质增效改造工程；规划建设野生菌资源保护与开发利用示范基地；规划新建林下彝香山猪养殖基地。</w:t>
      </w:r>
    </w:p>
    <w:p>
      <w:pPr>
        <w:pStyle w:val="38"/>
        <w:pageBreakBefore w:val="0"/>
        <w:widowControl w:val="0"/>
        <w:kinsoku/>
        <w:wordWrap/>
        <w:overflowPunct/>
        <w:topLinePunct w:val="0"/>
        <w:autoSpaceDE/>
        <w:autoSpaceDN/>
        <w:bidi w:val="0"/>
        <w:adjustRightInd/>
        <w:spacing w:line="600" w:lineRule="exact"/>
        <w:ind w:firstLine="640"/>
        <w:textAlignment w:val="auto"/>
        <w:rPr>
          <w:rFonts w:hint="eastAsia" w:ascii="楷体_GB2312" w:hAnsi="楷体_GB2312" w:eastAsia="楷体_GB2312" w:cs="楷体_GB2312"/>
          <w:b w:val="0"/>
          <w:bCs w:val="0"/>
          <w:color w:val="000000" w:themeColor="text1"/>
          <w:lang w:val="en-US" w:eastAsia="zh-CN"/>
          <w14:textFill>
            <w14:solidFill>
              <w14:schemeClr w14:val="tx1"/>
            </w14:solidFill>
          </w14:textFill>
        </w:rPr>
      </w:pPr>
      <w:r>
        <w:rPr>
          <w:rFonts w:hint="eastAsia" w:ascii="楷体_GB2312" w:hAnsi="楷体_GB2312" w:eastAsia="楷体_GB2312" w:cs="楷体_GB2312"/>
          <w:b w:val="0"/>
          <w:bCs w:val="0"/>
          <w:color w:val="000000" w:themeColor="text1"/>
          <w:lang w:val="en-US" w:eastAsia="zh-CN"/>
          <w14:textFill>
            <w14:solidFill>
              <w14:schemeClr w14:val="tx1"/>
            </w14:solidFill>
          </w14:textFill>
        </w:rPr>
        <w:t>（二）建设有机中药材种植基地项目</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在凉山乡、羊街镇等重点乡镇进行精准种植中药材，帮助元谋县的深度贫困村进行致富，解决原有基础设施薄弱，群众种植技术水平低等问题，结合实际，召集县中医医院与本土知名企业进行合作，成立中草药种植合作社作,通过“党支部+企业+专业合作社+农户”的生产经营路子,带动群众开展中草药种植。“十四五”期间计划种植有机中药材0.5万亩，配套建设微、滴灌系统；建设育苗工厂，大棚、设施农业等基础设施。</w:t>
      </w:r>
    </w:p>
    <w:p>
      <w:pPr>
        <w:pStyle w:val="38"/>
        <w:pageBreakBefore w:val="0"/>
        <w:widowControl w:val="0"/>
        <w:kinsoku/>
        <w:wordWrap/>
        <w:overflowPunct/>
        <w:topLinePunct w:val="0"/>
        <w:autoSpaceDE/>
        <w:autoSpaceDN/>
        <w:bidi w:val="0"/>
        <w:adjustRightInd/>
        <w:spacing w:line="600" w:lineRule="exact"/>
        <w:ind w:firstLine="640"/>
        <w:textAlignment w:val="auto"/>
        <w:rPr>
          <w:rFonts w:hint="eastAsia" w:ascii="楷体_GB2312" w:hAnsi="楷体_GB2312" w:eastAsia="楷体_GB2312" w:cs="楷体_GB2312"/>
          <w:b w:val="0"/>
          <w:bCs w:val="0"/>
          <w:color w:val="000000" w:themeColor="text1"/>
          <w:lang w:val="en-US" w:eastAsia="zh-CN"/>
          <w14:textFill>
            <w14:solidFill>
              <w14:schemeClr w14:val="tx1"/>
            </w14:solidFill>
          </w14:textFill>
        </w:rPr>
      </w:pPr>
      <w:r>
        <w:rPr>
          <w:rFonts w:hint="eastAsia" w:ascii="楷体_GB2312" w:hAnsi="楷体_GB2312" w:eastAsia="楷体_GB2312" w:cs="楷体_GB2312"/>
          <w:b w:val="0"/>
          <w:bCs w:val="0"/>
          <w:color w:val="000000" w:themeColor="text1"/>
          <w:lang w:val="en-US" w:eastAsia="zh-CN"/>
          <w14:textFill>
            <w14:solidFill>
              <w14:schemeClr w14:val="tx1"/>
            </w14:solidFill>
          </w14:textFill>
        </w:rPr>
        <w:t>（三）发展野生菌产业</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bidi="ar"/>
          <w14:textFill>
            <w14:solidFill>
              <w14:schemeClr w14:val="tx1"/>
            </w14:solidFill>
          </w14:textFill>
        </w:rPr>
        <w:t>认真贯彻落实省委、省政府楚雄现场办公会议精神，加强野生菌资源保护，加大野生菌保育力度，加快野生菌产业发展，“十四五”期间，大力发展山珍野生菌产业，建设元谋县野生菌保护区区划、野生菌保育基地和野生菌保育示范基地。采取将区域内野生菌相对富集、天然集中分布或分布有濒危、珍稀和珍贵野生菌的区域区划为野生菌资源保护区，做到科学区划、应划尽划的方法。规划野生菌保护区建设30万亩，野生菌保育基地建设5万亩，野生菌保育促繁科技示范基地建设150亩，主要分布在羊街镇和凉山乡2个乡镇。采取实施森林资源管护、林下抚育、封山育菌、专人管护、科学规范采集等培育措施实现森林资源和林下资源恢复性增长，创造有利于野生菌生长的良好自然环境，培育野生菌后备资源。</w:t>
      </w:r>
    </w:p>
    <w:p>
      <w:pPr>
        <w:pStyle w:val="38"/>
        <w:pageBreakBefore w:val="0"/>
        <w:widowControl w:val="0"/>
        <w:kinsoku/>
        <w:wordWrap/>
        <w:overflowPunct/>
        <w:topLinePunct w:val="0"/>
        <w:autoSpaceDE/>
        <w:autoSpaceDN/>
        <w:bidi w:val="0"/>
        <w:adjustRightInd/>
        <w:spacing w:line="600" w:lineRule="exact"/>
        <w:ind w:firstLine="640"/>
        <w:textAlignment w:val="auto"/>
        <w:rPr>
          <w:rFonts w:hint="eastAsia" w:ascii="楷体_GB2312" w:hAnsi="楷体_GB2312" w:eastAsia="楷体_GB2312" w:cs="楷体_GB2312"/>
          <w:b w:val="0"/>
          <w:bCs w:val="0"/>
          <w:color w:val="000000" w:themeColor="text1"/>
          <w:lang w:val="en-US" w:eastAsia="zh-CN"/>
          <w14:textFill>
            <w14:solidFill>
              <w14:schemeClr w14:val="tx1"/>
            </w14:solidFill>
          </w14:textFill>
        </w:rPr>
      </w:pPr>
      <w:r>
        <w:rPr>
          <w:rFonts w:hint="eastAsia" w:ascii="楷体_GB2312" w:hAnsi="楷体_GB2312" w:eastAsia="楷体_GB2312" w:cs="楷体_GB2312"/>
          <w:b w:val="0"/>
          <w:bCs w:val="0"/>
          <w:color w:val="000000" w:themeColor="text1"/>
          <w:lang w:val="en-US" w:eastAsia="zh-CN"/>
          <w14:textFill>
            <w14:solidFill>
              <w14:schemeClr w14:val="tx1"/>
            </w14:solidFill>
          </w14:textFill>
        </w:rPr>
        <w:t>（四）发展核桃产业</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打造具有强劲竞争力的核桃产业体系，加快产业转型升级，做优做强做大核桃产业。深入推进核桃产业供给侧改革，把提高供给质量和效率作为主攻方向，以科技创新为手段，加快实用技术研究、示范与推广应用，建立健全核桃产业技术体系。积极引导、支持企业、合作社开展绿色生态种植基地建设。对现有核桃园进行改造、提质增效，完善基地的水电路等基础设施，大力推广土肥水管理、树体管理、绿色防控等绿色技术，着力建设标准化示范基地。全面推进核桃初加工机械一体化进程，推动加工设备升级，开展核桃综合精深加工，延伸产业链，建设标准化、规模化、集约化、数字化的加工基地。着力打造“元谋核桃”区域公用品牌，着力创建世界一流的核桃绿色食品牌，实现产业可持续发展和果农增产增收。</w:t>
      </w:r>
    </w:p>
    <w:p>
      <w:pPr>
        <w:pStyle w:val="6"/>
        <w:pageBreakBefore w:val="0"/>
        <w:widowControl w:val="0"/>
        <w:kinsoku/>
        <w:wordWrap/>
        <w:overflowPunct/>
        <w:topLinePunct w:val="0"/>
        <w:autoSpaceDE/>
        <w:autoSpaceDN/>
        <w:bidi w:val="0"/>
        <w:adjustRightInd/>
        <w:spacing w:line="600" w:lineRule="exact"/>
        <w:ind w:firstLine="643"/>
        <w:textAlignment w:val="auto"/>
        <w:rPr>
          <w:rFonts w:hint="eastAsia" w:ascii="黑体" w:hAnsi="黑体" w:eastAsia="黑体" w:cs="黑体"/>
          <w:b w:val="0"/>
          <w:bCs w:val="0"/>
          <w:color w:val="000000" w:themeColor="text1"/>
          <w:highlight w:val="yellow"/>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二</w:t>
      </w:r>
      <w:r>
        <w:rPr>
          <w:rFonts w:hint="eastAsia" w:ascii="黑体" w:hAnsi="黑体" w:eastAsia="黑体" w:cs="黑体"/>
          <w:b w:val="0"/>
          <w:bCs w:val="0"/>
          <w:color w:val="000000" w:themeColor="text1"/>
          <w:highlight w:val="none"/>
          <w:lang w:val="en-US" w:eastAsia="zh-CN"/>
          <w14:textFill>
            <w14:solidFill>
              <w14:schemeClr w14:val="tx1"/>
            </w14:solidFill>
          </w14:textFill>
        </w:rPr>
        <w:t>、巩固提升国家储备林生态建设项目</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采取科学措施，大力营造和发展速生丰产林、珍稀大径级用材林和生态储备林，定向集约提高国家战略木材资源供给能力。集约培育速丰林、储备珍稀树种和大径级用材林，在重要生态功能区，培育森林生态系统功能突出的生态型储备林，坚持科学经营，推广先进适用技术和目标树培育模式，培育多功能的混交林和复层异龄林。建立储备林制度，制定验收评估、金融创新等制度方案，保障储备林稳定和运行安全。</w:t>
      </w:r>
    </w:p>
    <w:p>
      <w:pPr>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p>
    <w:p>
      <w:pPr>
        <w:pStyle w:val="3"/>
        <w:ind w:left="0" w:leftChars="0" w:firstLine="0" w:firstLineChars="0"/>
        <w:rPr>
          <w:rFonts w:hint="eastAsia"/>
          <w:lang w:val="en-US" w:eastAsia="zh-CN"/>
        </w:rPr>
      </w:pPr>
    </w:p>
    <w:p>
      <w:pPr>
        <w:rPr>
          <w:rFonts w:hint="eastAsia"/>
          <w:color w:val="000000" w:themeColor="text1"/>
          <w:lang w:val="en-US" w:eastAsia="zh-CN"/>
          <w14:textFill>
            <w14:solidFill>
              <w14:schemeClr w14:val="tx1"/>
            </w14:solidFill>
          </w14:textFill>
        </w:rPr>
      </w:pPr>
    </w:p>
    <w:tbl>
      <w:tblPr>
        <w:tblStyle w:val="14"/>
        <w:tblW w:w="9071" w:type="dxa"/>
        <w:jc w:val="center"/>
        <w:tblInd w:w="0" w:type="dxa"/>
        <w:shd w:val="clear" w:color="auto" w:fill="auto"/>
        <w:tblLayout w:type="fixed"/>
        <w:tblCellMar>
          <w:top w:w="0" w:type="dxa"/>
          <w:left w:w="108" w:type="dxa"/>
          <w:bottom w:w="0" w:type="dxa"/>
          <w:right w:w="108" w:type="dxa"/>
        </w:tblCellMar>
      </w:tblPr>
      <w:tblGrid>
        <w:gridCol w:w="9064"/>
        <w:gridCol w:w="7"/>
      </w:tblGrid>
      <w:tr>
        <w:tblPrEx>
          <w:shd w:val="clear" w:color="auto" w:fill="auto"/>
          <w:tblLayout w:type="fixed"/>
          <w:tblCellMar>
            <w:top w:w="0" w:type="dxa"/>
            <w:left w:w="108" w:type="dxa"/>
            <w:bottom w:w="0" w:type="dxa"/>
            <w:right w:w="108" w:type="dxa"/>
          </w:tblCellMar>
        </w:tblPrEx>
        <w:trPr>
          <w:trHeight w:val="197" w:hRule="atLeast"/>
          <w:jc w:val="center"/>
        </w:trPr>
        <w:tc>
          <w:tcPr>
            <w:tcW w:w="9071" w:type="dxa"/>
            <w:gridSpan w:val="2"/>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方正楷体简体" w:hAnsi="方正楷体简体" w:eastAsia="方正楷体简体" w:cs="方正楷体简体"/>
                <w:b/>
                <w:bCs/>
                <w:i w:val="0"/>
                <w:iCs w:val="0"/>
                <w:color w:val="000000" w:themeColor="text1"/>
                <w:kern w:val="0"/>
                <w:sz w:val="21"/>
                <w:szCs w:val="21"/>
                <w:u w:val="none"/>
                <w:lang w:val="en-US" w:eastAsia="zh-CN" w:bidi="ar"/>
                <w14:textFill>
                  <w14:solidFill>
                    <w14:schemeClr w14:val="tx1"/>
                  </w14:solidFill>
                </w14:textFill>
              </w:rPr>
            </w:pPr>
            <w:r>
              <w:rPr>
                <w:rFonts w:hint="eastAsia" w:ascii="方正楷体简体" w:hAnsi="方正楷体简体" w:eastAsia="方正楷体简体" w:cs="方正楷体简体"/>
                <w:b/>
                <w:bCs/>
                <w:color w:val="000000" w:themeColor="text1"/>
                <w:sz w:val="24"/>
                <w:szCs w:val="24"/>
                <w14:textFill>
                  <w14:solidFill>
                    <w14:schemeClr w14:val="tx1"/>
                  </w14:solidFill>
                </w14:textFill>
              </w:rPr>
              <w:t>专栏</w:t>
            </w:r>
            <w:r>
              <w:rPr>
                <w:rFonts w:hint="eastAsia" w:ascii="方正楷体简体" w:hAnsi="方正楷体简体" w:eastAsia="方正楷体简体" w:cs="方正楷体简体"/>
                <w:b/>
                <w:bCs/>
                <w:color w:val="000000" w:themeColor="text1"/>
                <w:sz w:val="24"/>
                <w:szCs w:val="24"/>
                <w:lang w:val="en-US" w:eastAsia="zh-CN"/>
                <w14:textFill>
                  <w14:solidFill>
                    <w14:schemeClr w14:val="tx1"/>
                  </w14:solidFill>
                </w14:textFill>
              </w:rPr>
              <w:t>5</w:t>
            </w:r>
            <w:r>
              <w:rPr>
                <w:rFonts w:hint="eastAsia" w:ascii="方正楷体简体" w:hAnsi="方正楷体简体" w:eastAsia="方正楷体简体" w:cs="方正楷体简体"/>
                <w:b/>
                <w:bCs/>
                <w:color w:val="000000" w:themeColor="text1"/>
                <w:sz w:val="24"/>
                <w:szCs w:val="24"/>
                <w14:textFill>
                  <w14:solidFill>
                    <w14:schemeClr w14:val="tx1"/>
                  </w14:solidFill>
                </w14:textFill>
              </w:rPr>
              <w:t>-1：</w:t>
            </w:r>
            <w:r>
              <w:rPr>
                <w:rFonts w:hint="eastAsia" w:ascii="方正楷体简体" w:hAnsi="方正楷体简体" w:eastAsia="方正楷体简体" w:cs="方正楷体简体"/>
                <w:b/>
                <w:bCs/>
                <w:color w:val="000000" w:themeColor="text1"/>
                <w:sz w:val="24"/>
                <w:szCs w:val="24"/>
                <w:lang w:val="en-US" w:eastAsia="zh-CN"/>
                <w14:textFill>
                  <w14:solidFill>
                    <w14:schemeClr w14:val="tx1"/>
                  </w14:solidFill>
                </w14:textFill>
              </w:rPr>
              <w:t>林草产业重点工程</w:t>
            </w:r>
          </w:p>
        </w:tc>
      </w:tr>
      <w:tr>
        <w:tblPrEx>
          <w:shd w:val="clear" w:color="auto" w:fill="auto"/>
          <w:tblLayout w:type="fixed"/>
          <w:tblCellMar>
            <w:top w:w="0" w:type="dxa"/>
            <w:left w:w="108" w:type="dxa"/>
            <w:bottom w:w="0" w:type="dxa"/>
            <w:right w:w="108" w:type="dxa"/>
          </w:tblCellMar>
        </w:tblPrEx>
        <w:trPr>
          <w:gridAfter w:val="1"/>
          <w:wAfter w:w="7" w:type="dxa"/>
          <w:trHeight w:val="454" w:hRule="atLeast"/>
          <w:jc w:val="center"/>
        </w:trPr>
        <w:tc>
          <w:tcPr>
            <w:tcW w:w="906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numPr>
                <w:ilvl w:val="0"/>
                <w:numId w:val="8"/>
              </w:numPr>
              <w:suppressLineNumbers w:val="0"/>
              <w:kinsoku/>
              <w:wordWrap/>
              <w:overflowPunct/>
              <w:topLinePunct w:val="0"/>
              <w:autoSpaceDE/>
              <w:autoSpaceDN/>
              <w:bidi w:val="0"/>
              <w:adjustRightInd/>
              <w:snapToGrid/>
              <w:spacing w:line="560" w:lineRule="exact"/>
              <w:jc w:val="left"/>
              <w:textAlignment w:val="center"/>
              <w:rPr>
                <w:rFonts w:hint="eastAsia"/>
                <w:color w:val="000000" w:themeColor="text1"/>
                <w:sz w:val="24"/>
                <w:szCs w:val="24"/>
                <w:lang w:val="en-US" w:eastAsia="zh-CN"/>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元谋县国家储备林等林业生态建设项目：</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建设木材基地9.7930万亩；通道绿化95.8公里；湿地公园0.315万亩；美丽乡村13个村委会；林木种苗基地建设0.05万亩；建设防火通道77.5公里。</w:t>
            </w:r>
          </w:p>
          <w:p>
            <w:pPr>
              <w:keepNext w:val="0"/>
              <w:keepLines w:val="0"/>
              <w:pageBreakBefore w:val="0"/>
              <w:widowControl/>
              <w:numPr>
                <w:ilvl w:val="0"/>
                <w:numId w:val="8"/>
              </w:numPr>
              <w:suppressLineNumbers w:val="0"/>
              <w:kinsoku/>
              <w:wordWrap/>
              <w:overflowPunct/>
              <w:topLinePunct w:val="0"/>
              <w:autoSpaceDE/>
              <w:autoSpaceDN/>
              <w:bidi w:val="0"/>
              <w:adjustRightInd/>
              <w:snapToGrid/>
              <w:spacing w:line="560" w:lineRule="exact"/>
              <w:jc w:val="left"/>
              <w:textAlignment w:val="center"/>
              <w:rPr>
                <w:rFonts w:hint="eastAsia" w:ascii="方正楷体简体" w:hAnsi="方正楷体简体" w:eastAsia="方正楷体简体" w:cs="方正楷体简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元谋县林业产业建设项目：</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深入推进核桃产业供给侧改革，提高产品的供给质量和生产效率：规划建设凤梨释迦、牛油果、芒果、澳洲坚果等热带亚热带特色经济林果基地2万亩；规划建设黄檀、紫檀等珍贵用材林示范基地1万亩；规划建设野生滇橄榄资源保护与开发利用示范基地0.2万亩；规划花椒提质增效改造1万亩；5.规划种植沃柑等优质柑桔基地0.5万亩，；规划种植优质冬桃0.3万亩；规划水蜜桃提质增效改造1万亩；规划建设野生菌资源保护与开发利用示范基地0.2万亩；规划新建林下彝香山猪养殖基地1个；规划在全县10个乡镇开展经济林果栽培管理和提质增效技术培训50期。</w:t>
            </w:r>
          </w:p>
          <w:p>
            <w:pPr>
              <w:keepNext w:val="0"/>
              <w:keepLines w:val="0"/>
              <w:pageBreakBefore w:val="0"/>
              <w:widowControl/>
              <w:numPr>
                <w:ilvl w:val="0"/>
                <w:numId w:val="8"/>
              </w:numPr>
              <w:suppressLineNumbers w:val="0"/>
              <w:kinsoku/>
              <w:wordWrap/>
              <w:overflowPunct/>
              <w:topLinePunct w:val="0"/>
              <w:autoSpaceDE/>
              <w:autoSpaceDN/>
              <w:bidi w:val="0"/>
              <w:adjustRightInd/>
              <w:snapToGrid/>
              <w:spacing w:line="560" w:lineRule="exact"/>
              <w:jc w:val="left"/>
              <w:textAlignment w:val="center"/>
              <w:rPr>
                <w:rFonts w:hint="eastAsia" w:ascii="方正楷体简体" w:hAnsi="方正楷体简体" w:eastAsia="方正楷体简体" w:cs="方正楷体简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有机中药材种植基地项目：</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有机中药材种植0.5万亩：配套建设微、滴灌系统，建设育苗工厂，大棚、设施农业等基础设施。</w:t>
            </w:r>
          </w:p>
          <w:p>
            <w:pPr>
              <w:keepNext w:val="0"/>
              <w:keepLines w:val="0"/>
              <w:pageBreakBefore w:val="0"/>
              <w:widowControl/>
              <w:numPr>
                <w:ilvl w:val="0"/>
                <w:numId w:val="8"/>
              </w:numPr>
              <w:suppressLineNumbers w:val="0"/>
              <w:kinsoku/>
              <w:wordWrap/>
              <w:overflowPunct/>
              <w:topLinePunct w:val="0"/>
              <w:autoSpaceDE/>
              <w:autoSpaceDN/>
              <w:bidi w:val="0"/>
              <w:adjustRightInd/>
              <w:snapToGrid/>
              <w:spacing w:line="560" w:lineRule="exact"/>
              <w:jc w:val="left"/>
              <w:textAlignment w:val="center"/>
              <w:rPr>
                <w:rFonts w:hint="eastAsia" w:ascii="方正楷体简体" w:hAnsi="方正楷体简体" w:eastAsia="方正楷体简体" w:cs="方正楷体简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元谋县野生菌资源保护与保育促繁示范基地建设项目：</w:t>
            </w:r>
            <w:r>
              <w:rPr>
                <w:rFonts w:hint="eastAsia" w:ascii="方正楷体简体" w:hAnsi="方正楷体简体" w:eastAsia="方正楷体简体" w:cs="方正楷体简体"/>
                <w:color w:val="000000" w:themeColor="text1"/>
                <w:sz w:val="24"/>
                <w:szCs w:val="24"/>
                <w14:textFill>
                  <w14:solidFill>
                    <w14:schemeClr w14:val="tx1"/>
                  </w14:solidFill>
                </w14:textFill>
              </w:rPr>
              <w:t>野生菌保护区建设30万亩；野生菌保育基地建设5万亩；野生菌保育促繁科技示范基地建设150亩；</w:t>
            </w:r>
            <w:r>
              <w:rPr>
                <w:rFonts w:hint="eastAsia" w:ascii="方正楷体简体" w:hAnsi="方正楷体简体" w:eastAsia="方正楷体简体" w:cs="方正楷体简体"/>
                <w:color w:val="000000" w:themeColor="text1"/>
                <w:sz w:val="24"/>
                <w:szCs w:val="24"/>
                <w:lang w:val="en-US" w:eastAsia="zh-CN"/>
                <w14:textFill>
                  <w14:solidFill>
                    <w14:schemeClr w14:val="tx1"/>
                  </w14:solidFill>
                </w14:textFill>
              </w:rPr>
              <w:t>做好</w:t>
            </w:r>
            <w:r>
              <w:rPr>
                <w:rFonts w:hint="eastAsia" w:ascii="方正楷体简体" w:hAnsi="方正楷体简体" w:eastAsia="方正楷体简体" w:cs="方正楷体简体"/>
                <w:color w:val="000000" w:themeColor="text1"/>
                <w:sz w:val="24"/>
                <w:szCs w:val="24"/>
                <w14:textFill>
                  <w14:solidFill>
                    <w14:schemeClr w14:val="tx1"/>
                  </w14:solidFill>
                </w14:textFill>
              </w:rPr>
              <w:t>鸡枞资源调查。</w:t>
            </w:r>
          </w:p>
          <w:p>
            <w:pPr>
              <w:keepNext w:val="0"/>
              <w:keepLines w:val="0"/>
              <w:pageBreakBefore w:val="0"/>
              <w:widowControl/>
              <w:numPr>
                <w:ilvl w:val="0"/>
                <w:numId w:val="8"/>
              </w:numPr>
              <w:suppressLineNumbers w:val="0"/>
              <w:kinsoku/>
              <w:wordWrap/>
              <w:overflowPunct/>
              <w:topLinePunct w:val="0"/>
              <w:autoSpaceDE/>
              <w:autoSpaceDN/>
              <w:bidi w:val="0"/>
              <w:adjustRightInd/>
              <w:snapToGrid/>
              <w:spacing w:line="560" w:lineRule="exact"/>
              <w:jc w:val="left"/>
              <w:textAlignment w:val="center"/>
              <w:rPr>
                <w:rFonts w:hint="eastAsia" w:ascii="方正楷体简体" w:hAnsi="方正楷体简体" w:eastAsia="方正楷体简体" w:cs="方正楷体简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元谋县核桃提质增效改造项目：</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核桃提质增效改造（品种改良、整形修剪、扩塘施肥、病虫防治）5万亩。</w:t>
            </w:r>
          </w:p>
          <w:p>
            <w:pPr>
              <w:keepNext w:val="0"/>
              <w:keepLines w:val="0"/>
              <w:pageBreakBefore w:val="0"/>
              <w:widowControl/>
              <w:numPr>
                <w:ilvl w:val="0"/>
                <w:numId w:val="8"/>
              </w:numPr>
              <w:suppressLineNumbers w:val="0"/>
              <w:kinsoku/>
              <w:wordWrap/>
              <w:overflowPunct/>
              <w:topLinePunct w:val="0"/>
              <w:autoSpaceDE/>
              <w:autoSpaceDN/>
              <w:bidi w:val="0"/>
              <w:adjustRightInd/>
              <w:snapToGrid/>
              <w:spacing w:line="560" w:lineRule="exact"/>
              <w:jc w:val="left"/>
              <w:textAlignment w:val="center"/>
              <w:rPr>
                <w:rFonts w:hint="eastAsia" w:ascii="方正楷体简体" w:hAnsi="方正楷体简体" w:eastAsia="方正楷体简体" w:cs="方正楷体简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元谋县核桃初加工机械一体化工程建设项目：</w:t>
            </w:r>
            <w:r>
              <w:rPr>
                <w:rFonts w:hint="eastAsia" w:ascii="方正楷体简体" w:hAnsi="方正楷体简体" w:eastAsia="方正楷体简体" w:cs="方正楷体简体"/>
                <w:b w:val="0"/>
                <w:bCs w:val="0"/>
                <w:i w:val="0"/>
                <w:iCs w:val="0"/>
                <w:color w:val="000000" w:themeColor="text1"/>
                <w:kern w:val="0"/>
                <w:sz w:val="24"/>
                <w:szCs w:val="24"/>
                <w:u w:val="none"/>
                <w:lang w:val="en-US" w:eastAsia="zh-CN" w:bidi="ar"/>
                <w14:textFill>
                  <w14:solidFill>
                    <w14:schemeClr w14:val="tx1"/>
                  </w14:solidFill>
                </w14:textFill>
              </w:rPr>
              <w:t>核桃加工企业、专业合作组织、核桃种植大户为主要对象，通过招商引资或培育当地企业，建立1家集核桃收购、加工、储运、销售为一体的核桃加工企业。新建1个核桃初加工基地，完善配套基础设施。新建以核桃脱皮机、核桃清水洗、核桃烘烤及核桃榨油机等机械</w:t>
            </w:r>
            <w:r>
              <w:rPr>
                <w:rFonts w:hint="eastAsia" w:ascii="方正楷体简体" w:hAnsi="方正楷体简体" w:eastAsia="方正楷体简体" w:cs="方正楷体简体"/>
                <w:b w:val="0"/>
                <w:bCs w:val="0"/>
                <w:i w:val="0"/>
                <w:iCs w:val="0"/>
                <w:color w:val="000000" w:themeColor="text1"/>
                <w:kern w:val="0"/>
                <w:sz w:val="24"/>
                <w:szCs w:val="24"/>
                <w:highlight w:val="none"/>
                <w:u w:val="none"/>
                <w:lang w:val="en-US" w:eastAsia="zh-CN" w:bidi="ar"/>
                <w14:textFill>
                  <w14:solidFill>
                    <w14:schemeClr w14:val="tx1"/>
                  </w14:solidFill>
                </w14:textFill>
              </w:rPr>
              <w:t>设备5套</w:t>
            </w:r>
            <w:r>
              <w:rPr>
                <w:rFonts w:hint="eastAsia" w:ascii="方正楷体简体" w:hAnsi="方正楷体简体" w:eastAsia="方正楷体简体" w:cs="方正楷体简体"/>
                <w:b w:val="0"/>
                <w:bCs w:val="0"/>
                <w:i w:val="0"/>
                <w:iCs w:val="0"/>
                <w:color w:val="000000" w:themeColor="text1"/>
                <w:kern w:val="0"/>
                <w:sz w:val="24"/>
                <w:szCs w:val="24"/>
                <w:u w:val="none"/>
                <w:lang w:val="en-US" w:eastAsia="zh-CN" w:bidi="ar"/>
                <w14:textFill>
                  <w14:solidFill>
                    <w14:schemeClr w14:val="tx1"/>
                  </w14:solidFill>
                </w14:textFill>
              </w:rPr>
              <w:t>。</w:t>
            </w:r>
          </w:p>
        </w:tc>
      </w:tr>
    </w:tbl>
    <w:p>
      <w:pPr>
        <w:pStyle w:val="5"/>
        <w:pageBreakBefore w:val="0"/>
        <w:widowControl w:val="0"/>
        <w:kinsoku/>
        <w:wordWrap/>
        <w:overflowPunct/>
        <w:topLinePunct w:val="0"/>
        <w:autoSpaceDE/>
        <w:autoSpaceDN/>
        <w:bidi w:val="0"/>
        <w:adjustRightInd/>
        <w:spacing w:line="600" w:lineRule="exact"/>
        <w:jc w:val="center"/>
        <w:textAlignment w:val="auto"/>
        <w:rPr>
          <w:rFonts w:hint="eastAsia" w:ascii="方正小标宋简体" w:hAnsi="方正小标宋简体" w:eastAsia="方正小标宋简体" w:cs="方正小标宋简体"/>
          <w:b w:val="0"/>
          <w:bCs w:val="0"/>
          <w:color w:val="000000" w:themeColor="text1"/>
          <w:sz w:val="36"/>
          <w:szCs w:val="36"/>
          <w:lang w:val="en-US" w:eastAsia="zh-CN"/>
          <w14:textFill>
            <w14:solidFill>
              <w14:schemeClr w14:val="tx1"/>
            </w14:solidFill>
          </w14:textFill>
        </w:rPr>
      </w:pPr>
      <w:bookmarkStart w:id="61" w:name="_Toc30169"/>
      <w:bookmarkStart w:id="62" w:name="_Toc12508"/>
      <w:r>
        <w:rPr>
          <w:rFonts w:hint="eastAsia" w:ascii="方正小标宋简体" w:hAnsi="方正小标宋简体" w:eastAsia="方正小标宋简体" w:cs="方正小标宋简体"/>
          <w:b w:val="0"/>
          <w:bCs w:val="0"/>
          <w:color w:val="000000" w:themeColor="text1"/>
          <w:sz w:val="36"/>
          <w:szCs w:val="36"/>
          <w:lang w:val="en-US" w:eastAsia="zh-CN"/>
          <w14:textFill>
            <w14:solidFill>
              <w14:schemeClr w14:val="tx1"/>
            </w14:solidFill>
          </w14:textFill>
        </w:rPr>
        <w:t>第二节 巩固脱贫成果与助推乡村振兴</w:t>
      </w:r>
      <w:bookmarkEnd w:id="61"/>
      <w:bookmarkEnd w:id="62"/>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深入践行“绿水青山就是金山银山”理念，坚持新发展理念和“双循环”新发展格局，按照《云南省乡村振兴战略规划》和国家林草局《关于贯彻落实乡村振兴战略规划的实施意见》，重点围绕“美丽乡村”和“美好生活”双美目标，主动融入国家乡村振兴战略，充分发挥林草资源优势，推进乡村生态文明建设，做好生态巩固脱贫攻坚政策措施、工作体系与乡村振兴平稳有序衔接。</w:t>
      </w:r>
    </w:p>
    <w:p>
      <w:pPr>
        <w:jc w:val="center"/>
        <w:rPr>
          <w:rFonts w:hint="eastAsia" w:ascii="方正楷体简体" w:hAnsi="方正楷体简体" w:eastAsia="方正楷体简体" w:cs="方正楷体简体"/>
          <w:b/>
          <w:bCs/>
          <w:color w:val="000000" w:themeColor="text1"/>
          <w:sz w:val="24"/>
          <w:szCs w:val="22"/>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4558665</wp:posOffset>
                </wp:positionH>
                <wp:positionV relativeFrom="paragraph">
                  <wp:posOffset>272415</wp:posOffset>
                </wp:positionV>
                <wp:extent cx="812800" cy="273050"/>
                <wp:effectExtent l="4445" t="4445" r="20955" b="8255"/>
                <wp:wrapNone/>
                <wp:docPr id="7" name="文本框 7"/>
                <wp:cNvGraphicFramePr/>
                <a:graphic xmlns:a="http://schemas.openxmlformats.org/drawingml/2006/main">
                  <a:graphicData uri="http://schemas.microsoft.com/office/word/2010/wordprocessingShape">
                    <wps:wsp>
                      <wps:cNvSpPr txBox="1"/>
                      <wps:spPr>
                        <a:xfrm>
                          <a:off x="0" y="0"/>
                          <a:ext cx="812800" cy="273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楷体简体" w:hAnsi="方正楷体简体" w:eastAsia="方正楷体简体" w:cs="方正楷体简体"/>
                                <w:b/>
                                <w:bCs/>
                                <w:lang w:val="en-US" w:eastAsia="zh-CN"/>
                              </w:rPr>
                            </w:pPr>
                            <w:r>
                              <w:rPr>
                                <w:rFonts w:hint="eastAsia" w:ascii="方正楷体简体" w:hAnsi="方正楷体简体" w:eastAsia="方正楷体简体" w:cs="方正楷体简体"/>
                                <w:b/>
                                <w:bCs/>
                                <w:lang w:val="en-US" w:eastAsia="zh-CN"/>
                              </w:rPr>
                              <w:t>单位：万元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95pt;margin-top:21.45pt;height:21.5pt;width:64pt;z-index:251664384;mso-width-relative:page;mso-height-relative:page;" fillcolor="#FFFFFF [3201]" filled="t" stroked="t" coordsize="21600,21600" o:gfxdata="UEsDBAoAAAAAAIdO4kAAAAAAAAAAAAAAAAAEAAAAZHJzL1BLAwQUAAAACACHTuJAmFFwb9UAAAAJ&#10;AQAADwAAAGRycy9kb3ducmV2LnhtbE2PQU/DMAyF70j8h8hI3FjabmyjNJ0E0qSJG6MXblnjtRWJ&#10;UyXZuv37mROc3rP89Py52lycFWcMcfCkIJ9lIJBabwbqFDRf26c1iJg0GW09oYIrRtjU93eVLo2f&#10;6BPP+9QJLqFYagV9SmMpZWx7dDrO/IjEu6MPTiceQydN0BOXOyuLLFtKpwfiC70e8b3H9md/cgp2&#10;y7f0jY35MPNi7qdGtuFoo1KPD3n2CiLhJf2F4Ref0aFmpoM/kYnCKljlqxeOKlgUrBxYL57ZHNiw&#10;yrqS/z+ob1BLAwQUAAAACACHTuJAKrVctz0CAABoBAAADgAAAGRycy9lMm9Eb2MueG1srVTNjtMw&#10;EL4j8Q6W7zRpt7stVdNV6aoIacWuVBBnx7FbC8djbLdJeQB4A05cuPNcfQ7G7s8WygmRgzPjmXwz&#10;881MxrdtrclGOK/AFLTbySkRhkOlzLKg79/NXwwp8YGZimkwoqBb4ent5PmzcWNHogcr0JVwBEGM&#10;HzW2oKsQ7CjLPF+JmvkOWGHQKMHVLKDqllnlWIPotc56eX6TNeAq64AL7/H2bm+kk4QvpeDhQUov&#10;AtEFxdxCOl06y3hmkzEbLR2zK8UPabB/yKJmymDQE9QdC4ysnbqAqhV34EGGDoc6AykVF6kGrKab&#10;/1HNYsWsSLUgOd6eaPL/D5a/3Tw6oqqCDigxrMYW7b593X3/ufvxhQwiPY31I/RaWPQL7Stosc3H&#10;e4+XsepWujq+sR6CdiR6eyJXtIFwvBx2e8McLRxNvcFVfp3Iz54+ts6H1wJqEoWCOuxdopRt7n3A&#10;RND16BJjedCqmiutk+KW5Uw7smHY53l6Yo74yW9u2pCmoDdXGPsCImKfIErN+MdLBMTTBmEjJ/va&#10;oxTasj0QVUK1RZ4c7AfNWz5XiHvPfHhkDicLCcBtCQ94SA2YDBwkSlbgPv/tPvpjw9FKSYOTWlD/&#10;ac2coES/MTgKL7v9fhztpPSvBz1U3LmlPLeYdT0DJKmLe2l5EqN/0EdROqg/4FJNY1Q0McMxdkHD&#10;UZyF/f7gUnIxnSYnHGbLwr1ZWB6hI7kGpusAUqXWRZr23BzYw3FO7TmsXtyXcz15Pf0gJ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FFwb9UAAAAJAQAADwAAAAAAAAABACAAAAAiAAAAZHJzL2Rv&#10;d25yZXYueG1sUEsBAhQAFAAAAAgAh07iQCq1XLc9AgAAaAQAAA4AAAAAAAAAAQAgAAAAJAEAAGRy&#10;cy9lMm9Eb2MueG1sUEsFBgAAAAAGAAYAWQEAANMFAAAAAA==&#10;">
                <v:fill on="t" focussize="0,0"/>
                <v:stroke weight="0.5pt" color="#000000 [3204]" joinstyle="round"/>
                <v:imagedata o:title=""/>
                <o:lock v:ext="edit" aspectratio="f"/>
                <v:textbox>
                  <w:txbxContent>
                    <w:p>
                      <w:pPr>
                        <w:rPr>
                          <w:rFonts w:hint="eastAsia" w:ascii="方正楷体简体" w:hAnsi="方正楷体简体" w:eastAsia="方正楷体简体" w:cs="方正楷体简体"/>
                          <w:b/>
                          <w:bCs/>
                          <w:lang w:val="en-US" w:eastAsia="zh-CN"/>
                        </w:rPr>
                      </w:pPr>
                      <w:r>
                        <w:rPr>
                          <w:rFonts w:hint="eastAsia" w:ascii="方正楷体简体" w:hAnsi="方正楷体简体" w:eastAsia="方正楷体简体" w:cs="方正楷体简体"/>
                          <w:b/>
                          <w:bCs/>
                          <w:lang w:val="en-US" w:eastAsia="zh-CN"/>
                        </w:rPr>
                        <w:t>单位：万元</w:t>
                      </w:r>
                    </w:p>
                  </w:txbxContent>
                </v:textbox>
              </v:shape>
            </w:pict>
          </mc:Fallback>
        </mc:AlternateContent>
      </w:r>
      <w:r>
        <w:rPr>
          <w:color w:val="000000" w:themeColor="text1"/>
          <w14:textFill>
            <w14:solidFill>
              <w14:schemeClr w14:val="tx1"/>
            </w14:solidFill>
          </w14:textFill>
        </w:rPr>
        <w:drawing>
          <wp:inline distT="0" distB="0" distL="114300" distR="114300">
            <wp:extent cx="5916295" cy="1878965"/>
            <wp:effectExtent l="4445" t="4445" r="22860" b="21590"/>
            <wp:docPr id="107450" name="图表 107449" descr="7b0a202020202263686172745265734964223a2022383733373033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hint="eastAsia" w:ascii="方正楷体简体" w:hAnsi="方正楷体简体" w:eastAsia="方正楷体简体" w:cs="方正楷体简体"/>
          <w:b/>
          <w:bCs/>
          <w:color w:val="000000" w:themeColor="text1"/>
          <w:sz w:val="24"/>
          <w:szCs w:val="22"/>
          <w:lang w:val="en-US" w:eastAsia="zh-CN"/>
          <w14:textFill>
            <w14:solidFill>
              <w14:schemeClr w14:val="tx1"/>
            </w14:solidFill>
          </w14:textFill>
        </w:rPr>
        <w:t>图5-2  “十四五”乡村振兴战略计划项目投资金额</w:t>
      </w:r>
    </w:p>
    <w:p>
      <w:pPr>
        <w:pStyle w:val="6"/>
        <w:pageBreakBefore w:val="0"/>
        <w:widowControl w:val="0"/>
        <w:kinsoku/>
        <w:wordWrap/>
        <w:overflowPunct/>
        <w:topLinePunct w:val="0"/>
        <w:autoSpaceDE/>
        <w:autoSpaceDN/>
        <w:bidi w:val="0"/>
        <w:adjustRightInd/>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一、林草生态脱贫政策与乡村振兴融合</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在保护好森林资源、湿地资源、草地资源的前提下，结合民族风情、历史文化，联合旅游部门共同规划、开发生态观光、休闲度假、森林探险、森林科考、自然教育和科普以及生态旅游村等特色生态旅游，打造特色生态旅游线路、生态旅游地知名品牌。重点打造生态旅游精品线路和</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以自然保护地为</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重点的生态旅游景区、景点。新建或改造、完善生态旅游基础设施，提升生态旅游服务水平，促进全域生态旅游开发。开展生态旅游精品推介活动，打造元谋特色生态旅游品牌，引导全县围绕生态旅游品牌打造开展森林城镇、森林人家、森林村庄等创建活动，利用“一部手机游云南”等平台大力发展智慧生态旅游。</w:t>
      </w:r>
    </w:p>
    <w:p>
      <w:pPr>
        <w:pStyle w:val="6"/>
        <w:pageBreakBefore w:val="0"/>
        <w:widowControl w:val="0"/>
        <w:kinsoku/>
        <w:wordWrap/>
        <w:overflowPunct/>
        <w:topLinePunct w:val="0"/>
        <w:autoSpaceDE/>
        <w:autoSpaceDN/>
        <w:bidi w:val="0"/>
        <w:adjustRightInd/>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二、推进森林康养发展与乡村振兴融合</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以</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元谋土林省级地质自然公园和元谋风景名胜区</w:t>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为依托，创建以自然森林景观风光为韵，以村居文化纪念馆为魂，森林康养与文旅产业深度融合，集“森林康养+文旅+乡村旅游+美丽乡村+乡村振兴”为一体的森林康养产业体系。充分发挥元谋独特多样的森林康养资源优势，以森林生态环境、景观资源、食品药材和彝族民族文化资源为基础，以促进大众健康为目的，大力开展保健养生、康复疗养、健康养老等森林康养服务。建设森林浴场、森林氧吧、森林康复中心、森林疗养场馆、康养步道、导引系统等服务设施。积极创建国家森林康养基地、省级森林康养基地、森林人家，打造具有元谋特色的一流的森林康养品牌。</w:t>
      </w:r>
    </w:p>
    <w:p>
      <w:pP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p>
    <w:p>
      <w:pPr>
        <w:pStyle w:val="2"/>
        <w:rPr>
          <w:rFonts w:hint="eastAsia"/>
          <w:lang w:val="en-US" w:eastAsia="zh-CN"/>
        </w:rPr>
      </w:pPr>
    </w:p>
    <w:tbl>
      <w:tblPr>
        <w:tblStyle w:val="14"/>
        <w:tblW w:w="9071" w:type="dxa"/>
        <w:jc w:val="center"/>
        <w:tblInd w:w="0" w:type="dxa"/>
        <w:shd w:val="clear" w:color="auto" w:fill="auto"/>
        <w:tblLayout w:type="fixed"/>
        <w:tblCellMar>
          <w:top w:w="0" w:type="dxa"/>
          <w:left w:w="108" w:type="dxa"/>
          <w:bottom w:w="0" w:type="dxa"/>
          <w:right w:w="108" w:type="dxa"/>
        </w:tblCellMar>
      </w:tblPr>
      <w:tblGrid>
        <w:gridCol w:w="9064"/>
        <w:gridCol w:w="7"/>
      </w:tblGrid>
      <w:tr>
        <w:tblPrEx>
          <w:shd w:val="clear" w:color="auto" w:fill="auto"/>
          <w:tblLayout w:type="fixed"/>
        </w:tblPrEx>
        <w:trPr>
          <w:trHeight w:val="197" w:hRule="atLeast"/>
          <w:jc w:val="center"/>
        </w:trPr>
        <w:tc>
          <w:tcPr>
            <w:tcW w:w="9071" w:type="dxa"/>
            <w:gridSpan w:val="2"/>
            <w:tcBorders>
              <w:top w:val="single" w:color="000000" w:sz="4" w:space="0"/>
              <w:left w:val="single" w:color="000000" w:sz="4" w:space="0"/>
              <w:bottom w:val="single" w:color="auto" w:sz="4" w:space="0"/>
              <w:right w:val="single" w:color="auto" w:sz="4" w:space="0"/>
            </w:tcBorders>
            <w:shd w:val="clear" w:color="auto" w:fill="auto"/>
            <w:vAlign w:val="center"/>
          </w:tcPr>
          <w:p>
            <w:pPr>
              <w:pStyle w:val="8"/>
              <w:ind w:left="0" w:leftChars="0" w:firstLine="0" w:firstLineChars="0"/>
              <w:jc w:val="center"/>
              <w:rPr>
                <w:rFonts w:hint="eastAsia" w:ascii="方正楷体简体" w:hAnsi="方正楷体简体" w:eastAsia="方正楷体简体" w:cs="方正楷体简体"/>
                <w:b/>
                <w:bCs/>
                <w:i w:val="0"/>
                <w:iCs w:val="0"/>
                <w:color w:val="000000" w:themeColor="text1"/>
                <w:kern w:val="0"/>
                <w:sz w:val="21"/>
                <w:szCs w:val="21"/>
                <w:u w:val="none"/>
                <w:lang w:val="en-US" w:eastAsia="zh-CN" w:bidi="ar"/>
                <w14:textFill>
                  <w14:solidFill>
                    <w14:schemeClr w14:val="tx1"/>
                  </w14:solidFill>
                </w14:textFill>
              </w:rPr>
            </w:pPr>
            <w:r>
              <w:rPr>
                <w:rFonts w:hint="eastAsia"/>
                <w:color w:val="000000" w:themeColor="text1"/>
                <w:sz w:val="24"/>
                <w:szCs w:val="22"/>
                <w:lang w:val="en-US" w:eastAsia="zh-CN"/>
                <w14:textFill>
                  <w14:solidFill>
                    <w14:schemeClr w14:val="tx1"/>
                  </w14:solidFill>
                </w14:textFill>
              </w:rPr>
              <w:t>·</w:t>
            </w:r>
            <w:r>
              <w:rPr>
                <w:rFonts w:hint="eastAsia" w:ascii="方正楷体简体" w:hAnsi="方正楷体简体" w:eastAsia="方正楷体简体" w:cs="方正楷体简体"/>
                <w:b/>
                <w:bCs/>
                <w:color w:val="000000" w:themeColor="text1"/>
                <w:sz w:val="24"/>
                <w:szCs w:val="24"/>
                <w14:textFill>
                  <w14:solidFill>
                    <w14:schemeClr w14:val="tx1"/>
                  </w14:solidFill>
                </w14:textFill>
              </w:rPr>
              <w:t>专栏</w:t>
            </w:r>
            <w:r>
              <w:rPr>
                <w:rFonts w:hint="eastAsia" w:ascii="方正楷体简体" w:hAnsi="方正楷体简体" w:eastAsia="方正楷体简体" w:cs="方正楷体简体"/>
                <w:b/>
                <w:bCs/>
                <w:color w:val="000000" w:themeColor="text1"/>
                <w:sz w:val="24"/>
                <w:szCs w:val="24"/>
                <w:lang w:val="en-US" w:eastAsia="zh-CN"/>
                <w14:textFill>
                  <w14:solidFill>
                    <w14:schemeClr w14:val="tx1"/>
                  </w14:solidFill>
                </w14:textFill>
              </w:rPr>
              <w:t>5</w:t>
            </w:r>
            <w:r>
              <w:rPr>
                <w:rFonts w:hint="eastAsia" w:ascii="方正楷体简体" w:hAnsi="方正楷体简体" w:eastAsia="方正楷体简体" w:cs="方正楷体简体"/>
                <w:b/>
                <w:bCs/>
                <w:color w:val="000000" w:themeColor="text1"/>
                <w:sz w:val="24"/>
                <w:szCs w:val="24"/>
                <w14:textFill>
                  <w14:solidFill>
                    <w14:schemeClr w14:val="tx1"/>
                  </w14:solidFill>
                </w14:textFill>
              </w:rPr>
              <w:t>-</w:t>
            </w:r>
            <w:r>
              <w:rPr>
                <w:rFonts w:hint="eastAsia" w:ascii="方正楷体简体" w:hAnsi="方正楷体简体" w:eastAsia="方正楷体简体" w:cs="方正楷体简体"/>
                <w:b/>
                <w:bCs/>
                <w:color w:val="000000" w:themeColor="text1"/>
                <w:sz w:val="24"/>
                <w:szCs w:val="24"/>
                <w:lang w:val="en-US" w:eastAsia="zh-CN"/>
                <w14:textFill>
                  <w14:solidFill>
                    <w14:schemeClr w14:val="tx1"/>
                  </w14:solidFill>
                </w14:textFill>
              </w:rPr>
              <w:t>2</w:t>
            </w:r>
            <w:r>
              <w:rPr>
                <w:rFonts w:hint="eastAsia" w:ascii="方正楷体简体" w:hAnsi="方正楷体简体" w:eastAsia="方正楷体简体" w:cs="方正楷体简体"/>
                <w:b/>
                <w:bCs/>
                <w:color w:val="000000" w:themeColor="text1"/>
                <w:sz w:val="24"/>
                <w:szCs w:val="24"/>
                <w14:textFill>
                  <w14:solidFill>
                    <w14:schemeClr w14:val="tx1"/>
                  </w14:solidFill>
                </w14:textFill>
              </w:rPr>
              <w:t>：</w:t>
            </w:r>
            <w:r>
              <w:rPr>
                <w:rFonts w:hint="eastAsia" w:ascii="方正楷体简体" w:hAnsi="方正楷体简体" w:eastAsia="方正楷体简体" w:cs="方正楷体简体"/>
                <w:b/>
                <w:bCs/>
                <w:color w:val="000000" w:themeColor="text1"/>
                <w:sz w:val="24"/>
                <w:szCs w:val="24"/>
                <w:lang w:val="en-US" w:eastAsia="zh-CN"/>
                <w14:textFill>
                  <w14:solidFill>
                    <w14:schemeClr w14:val="tx1"/>
                  </w14:solidFill>
                </w14:textFill>
              </w:rPr>
              <w:t>乡村振兴战略</w:t>
            </w:r>
          </w:p>
        </w:tc>
      </w:tr>
      <w:tr>
        <w:tblPrEx>
          <w:shd w:val="clear" w:color="auto" w:fill="auto"/>
          <w:tblLayout w:type="fixed"/>
          <w:tblCellMar>
            <w:top w:w="0" w:type="dxa"/>
            <w:left w:w="108" w:type="dxa"/>
            <w:bottom w:w="0" w:type="dxa"/>
            <w:right w:w="108" w:type="dxa"/>
          </w:tblCellMar>
        </w:tblPrEx>
        <w:trPr>
          <w:gridAfter w:val="1"/>
          <w:wAfter w:w="7" w:type="dxa"/>
          <w:trHeight w:val="666" w:hRule="atLeast"/>
          <w:jc w:val="center"/>
        </w:trPr>
        <w:tc>
          <w:tcPr>
            <w:tcW w:w="906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numPr>
                <w:ilvl w:val="0"/>
                <w:numId w:val="9"/>
              </w:numPr>
              <w:suppressLineNumbers w:val="0"/>
              <w:jc w:val="left"/>
              <w:textAlignment w:val="cente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“三沿”（路沿、水沿、村沿）区域植树生态保护与修复项目：</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路域（108国道、高速公路沿线）植树工程和管护项目建设。水域（金沙江、龙川江、蜻蛉河、勐冈河）植树工程和管护项目建设。城镇近山、面山及其乡村绿化美化项目工程建设。植树造林后续养护。</w:t>
            </w:r>
          </w:p>
          <w:p>
            <w:pPr>
              <w:keepNext w:val="0"/>
              <w:keepLines w:val="0"/>
              <w:widowControl/>
              <w:numPr>
                <w:ilvl w:val="0"/>
                <w:numId w:val="9"/>
              </w:numPr>
              <w:suppressLineNumbers w:val="0"/>
              <w:jc w:val="left"/>
              <w:textAlignment w:val="center"/>
              <w:rPr>
                <w:rFonts w:hint="eastAsia" w:ascii="方正楷体简体" w:hAnsi="方正楷体简体" w:eastAsia="方正楷体简体" w:cs="方正楷体简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生态文明示范村建设：</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建成10个生态文明示范村：实施乡村林业产业发展种植特色经济林果和林下种植；实施乡村生态环境绿化美化20个村组，建设内容包括村旁、路旁、宅（庭院）旁、水旁绿化美化；开展古树、湿地、森林和草原资源管理保护，实现森林资源“双增”；实施打造特色乡村生态旅游5个。</w:t>
            </w:r>
          </w:p>
          <w:p>
            <w:pPr>
              <w:keepNext w:val="0"/>
              <w:keepLines w:val="0"/>
              <w:widowControl/>
              <w:numPr>
                <w:ilvl w:val="0"/>
                <w:numId w:val="9"/>
              </w:numPr>
              <w:suppressLineNumbers w:val="0"/>
              <w:jc w:val="left"/>
              <w:textAlignment w:val="center"/>
              <w:rPr>
                <w:rFonts w:hint="eastAsia" w:ascii="方正楷体简体" w:hAnsi="方正楷体简体" w:eastAsia="方正楷体简体" w:cs="方正楷体简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元谋县森林康养产业融合生态园项目：</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村居文化纪念馆20亩；森林生态医养康养中心60亩；林下经济产业园2200亩；森林生态采摘200亩；森林药用植物基地260亩；森林户外拓展基地60亩；森林生态养殖100亩；配套基础设施、景观设施工程100亩。</w:t>
            </w:r>
          </w:p>
        </w:tc>
      </w:tr>
    </w:tbl>
    <w:p>
      <w:pPr>
        <w:pStyle w:val="8"/>
        <w:ind w:left="0" w:leftChars="0" w:firstLine="0" w:firstLineChars="0"/>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spacing w:before="160" w:beforeLines="50" w:after="160" w:afterLines="50" w:line="600" w:lineRule="exact"/>
        <w:jc w:val="center"/>
        <w:textAlignment w:val="auto"/>
        <w:outlineLvl w:val="0"/>
        <w:rPr>
          <w:rFonts w:hint="default" w:ascii="方正小标宋简体" w:hAnsi="方正小标宋简体" w:eastAsia="方正小标宋简体" w:cs="方正小标宋简体"/>
          <w:bCs/>
          <w:color w:val="000000" w:themeColor="text1"/>
          <w:kern w:val="44"/>
          <w:sz w:val="44"/>
          <w:szCs w:val="44"/>
          <w:lang w:val="en-US" w:eastAsia="zh-CN" w:bidi="ar"/>
          <w14:textFill>
            <w14:solidFill>
              <w14:schemeClr w14:val="tx1"/>
            </w14:solidFill>
          </w14:textFill>
        </w:rPr>
      </w:pPr>
      <w:bookmarkStart w:id="63" w:name="_Toc28614"/>
      <w:bookmarkStart w:id="64" w:name="_Toc25141"/>
      <w:r>
        <w:rPr>
          <w:rFonts w:hint="eastAsia" w:ascii="方正小标宋简体" w:hAnsi="方正小标宋简体" w:eastAsia="方正小标宋简体" w:cs="方正小标宋简体"/>
          <w:bCs/>
          <w:color w:val="000000" w:themeColor="text1"/>
          <w:kern w:val="44"/>
          <w:sz w:val="44"/>
          <w:szCs w:val="44"/>
          <w:lang w:val="en-US" w:eastAsia="zh-CN" w:bidi="ar"/>
          <w14:textFill>
            <w14:solidFill>
              <w14:schemeClr w14:val="tx1"/>
            </w14:solidFill>
          </w14:textFill>
        </w:rPr>
        <w:t>第六章 深化重点领域改革</w:t>
      </w:r>
      <w:bookmarkEnd w:id="63"/>
      <w:bookmarkEnd w:id="64"/>
    </w:p>
    <w:p>
      <w:pPr>
        <w:pStyle w:val="5"/>
        <w:pageBreakBefore w:val="0"/>
        <w:widowControl w:val="0"/>
        <w:kinsoku/>
        <w:wordWrap/>
        <w:overflowPunct/>
        <w:topLinePunct w:val="0"/>
        <w:autoSpaceDE/>
        <w:autoSpaceDN/>
        <w:bidi w:val="0"/>
        <w:adjustRightInd/>
        <w:spacing w:line="600" w:lineRule="exact"/>
        <w:jc w:val="center"/>
        <w:textAlignment w:val="auto"/>
        <w:rPr>
          <w:rFonts w:hint="eastAsia" w:ascii="方正小标宋简体" w:hAnsi="方正小标宋简体" w:eastAsia="方正小标宋简体" w:cs="方正小标宋简体"/>
          <w:b w:val="0"/>
          <w:bCs w:val="0"/>
          <w:color w:val="000000" w:themeColor="text1"/>
          <w:sz w:val="36"/>
          <w:szCs w:val="36"/>
          <w:lang w:val="en-US" w:eastAsia="zh-CN"/>
          <w14:textFill>
            <w14:solidFill>
              <w14:schemeClr w14:val="tx1"/>
            </w14:solidFill>
          </w14:textFill>
        </w:rPr>
      </w:pPr>
      <w:bookmarkStart w:id="65" w:name="_Toc16347"/>
      <w:bookmarkStart w:id="66" w:name="_Toc26685"/>
      <w:r>
        <w:rPr>
          <w:rFonts w:hint="eastAsia" w:ascii="方正小标宋简体" w:hAnsi="方正小标宋简体" w:eastAsia="方正小标宋简体" w:cs="方正小标宋简体"/>
          <w:b w:val="0"/>
          <w:bCs w:val="0"/>
          <w:color w:val="000000" w:themeColor="text1"/>
          <w:sz w:val="36"/>
          <w:szCs w:val="36"/>
          <w:lang w:val="en-US" w:eastAsia="zh-CN"/>
          <w14:textFill>
            <w14:solidFill>
              <w14:schemeClr w14:val="tx1"/>
            </w14:solidFill>
          </w14:textFill>
        </w:rPr>
        <w:t>第一节 全面推行林长制</w:t>
      </w:r>
      <w:bookmarkEnd w:id="65"/>
      <w:bookmarkEnd w:id="66"/>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建立以林长制为主体的党政领导保护发展林草资源责任体系，县、乡（镇）、村分级设立林长，建立林长制，并提供必要的工作经费保障。各级林长组织制定森林草地资源保护发展规划，协调解决区域重点难点问题，落实森林草地防灭火、重大有害生物防治责任制和措施。建立林长制考核评价制度，对各级林长实行年度量化考核，在森林覆盖率、森林蓄积量等主要约束性指标，以及年度计划任务上开展考核考评。明确各级党政领导干部保护发展森林草地资源目标责任，构建党政同责、属地负责、部门协同、源头治理、全域覆盖、监管到位、奖惩严明的长效机制。</w:t>
      </w:r>
    </w:p>
    <w:p>
      <w:pPr>
        <w:pStyle w:val="5"/>
        <w:pageBreakBefore w:val="0"/>
        <w:widowControl w:val="0"/>
        <w:kinsoku/>
        <w:wordWrap/>
        <w:overflowPunct/>
        <w:topLinePunct w:val="0"/>
        <w:autoSpaceDE/>
        <w:autoSpaceDN/>
        <w:bidi w:val="0"/>
        <w:adjustRightInd/>
        <w:spacing w:line="600" w:lineRule="exact"/>
        <w:jc w:val="center"/>
        <w:textAlignment w:val="auto"/>
        <w:rPr>
          <w:rFonts w:hint="eastAsia" w:ascii="方正小标宋简体" w:hAnsi="方正小标宋简体" w:eastAsia="方正小标宋简体" w:cs="方正小标宋简体"/>
          <w:b w:val="0"/>
          <w:bCs w:val="0"/>
          <w:color w:val="000000" w:themeColor="text1"/>
          <w:sz w:val="36"/>
          <w:szCs w:val="36"/>
          <w:lang w:val="en-US" w:eastAsia="zh-CN"/>
          <w14:textFill>
            <w14:solidFill>
              <w14:schemeClr w14:val="tx1"/>
            </w14:solidFill>
          </w14:textFill>
        </w:rPr>
      </w:pPr>
      <w:bookmarkStart w:id="67" w:name="_Toc701"/>
      <w:bookmarkStart w:id="68" w:name="_Toc30351"/>
      <w:r>
        <w:rPr>
          <w:rFonts w:hint="eastAsia" w:ascii="方正小标宋简体" w:hAnsi="方正小标宋简体" w:eastAsia="方正小标宋简体" w:cs="方正小标宋简体"/>
          <w:b w:val="0"/>
          <w:bCs w:val="0"/>
          <w:color w:val="000000" w:themeColor="text1"/>
          <w:sz w:val="36"/>
          <w:szCs w:val="36"/>
          <w:lang w:val="en-US" w:eastAsia="zh-CN"/>
          <w14:textFill>
            <w14:solidFill>
              <w14:schemeClr w14:val="tx1"/>
            </w14:solidFill>
          </w14:textFill>
        </w:rPr>
        <w:t>第二节 推进林草碳中和行动</w:t>
      </w:r>
      <w:bookmarkEnd w:id="67"/>
      <w:bookmarkEnd w:id="68"/>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加强林业生物质能源开发利用与木竹材料替代，减少碳排放。科学开展植树造林、森林保护与森林经营，提高森林生态系统碳汇增量。开展林草碳汇计量监测评估，有序开展元谋县林草碳汇潜力评价，科学评价林草碳汇能力，建立健全森林碳汇基础数据库，建立分年度发布林草碳汇报告制度。积极参与碳市场制度建设，鼓励社会主体参与林草碳汇项目开发建设，指导开展林草碳汇项目开发交易和碳中和行动。</w:t>
      </w:r>
    </w:p>
    <w:p>
      <w:pPr>
        <w:rPr>
          <w:rFonts w:hint="eastAsia"/>
          <w:color w:val="000000" w:themeColor="text1"/>
          <w:lang w:val="en-US" w:eastAsia="zh-CN"/>
          <w14:textFill>
            <w14:solidFill>
              <w14:schemeClr w14:val="tx1"/>
            </w14:solidFill>
          </w14:textFill>
        </w:rPr>
      </w:pPr>
      <w:bookmarkStart w:id="69" w:name="_Toc9684"/>
    </w:p>
    <w:p>
      <w:pPr>
        <w:keepNext w:val="0"/>
        <w:keepLines w:val="0"/>
        <w:pageBreakBefore w:val="0"/>
        <w:widowControl w:val="0"/>
        <w:numPr>
          <w:ilvl w:val="0"/>
          <w:numId w:val="10"/>
        </w:numPr>
        <w:kinsoku/>
        <w:wordWrap/>
        <w:overflowPunct/>
        <w:topLinePunct w:val="0"/>
        <w:autoSpaceDE/>
        <w:autoSpaceDN/>
        <w:bidi w:val="0"/>
        <w:adjustRightInd/>
        <w:snapToGrid/>
        <w:spacing w:before="160" w:beforeLines="50" w:after="160" w:afterLines="50" w:line="600" w:lineRule="exact"/>
        <w:jc w:val="center"/>
        <w:textAlignment w:val="auto"/>
        <w:outlineLvl w:val="0"/>
        <w:rPr>
          <w:rFonts w:hint="eastAsia" w:ascii="方正小标宋简体" w:hAnsi="方正小标宋简体" w:eastAsia="方正小标宋简体" w:cs="方正小标宋简体"/>
          <w:bCs/>
          <w:color w:val="000000" w:themeColor="text1"/>
          <w:kern w:val="44"/>
          <w:sz w:val="44"/>
          <w:szCs w:val="44"/>
          <w:lang w:val="en-US" w:eastAsia="zh-CN" w:bidi="ar"/>
          <w14:textFill>
            <w14:solidFill>
              <w14:schemeClr w14:val="tx1"/>
            </w14:solidFill>
          </w14:textFill>
        </w:rPr>
      </w:pPr>
      <w:bookmarkStart w:id="70" w:name="_Toc13645"/>
      <w:r>
        <w:rPr>
          <w:rFonts w:hint="eastAsia" w:ascii="方正小标宋简体" w:hAnsi="方正小标宋简体" w:eastAsia="方正小标宋简体" w:cs="方正小标宋简体"/>
          <w:bCs/>
          <w:color w:val="000000" w:themeColor="text1"/>
          <w:kern w:val="44"/>
          <w:sz w:val="44"/>
          <w:szCs w:val="44"/>
          <w:lang w:val="en-US" w:eastAsia="zh-CN" w:bidi="ar"/>
          <w14:textFill>
            <w14:solidFill>
              <w14:schemeClr w14:val="tx1"/>
            </w14:solidFill>
          </w14:textFill>
        </w:rPr>
        <w:t>支撑保障体系建设</w:t>
      </w:r>
      <w:bookmarkEnd w:id="70"/>
    </w:p>
    <w:p>
      <w:pPr>
        <w:pStyle w:val="5"/>
        <w:pageBreakBefore w:val="0"/>
        <w:widowControl w:val="0"/>
        <w:kinsoku/>
        <w:wordWrap/>
        <w:overflowPunct/>
        <w:topLinePunct w:val="0"/>
        <w:autoSpaceDE/>
        <w:autoSpaceDN/>
        <w:bidi w:val="0"/>
        <w:adjustRightInd/>
        <w:spacing w:line="600" w:lineRule="exact"/>
        <w:jc w:val="center"/>
        <w:textAlignment w:val="auto"/>
        <w:rPr>
          <w:rFonts w:hint="eastAsia" w:ascii="方正小标宋简体" w:hAnsi="方正小标宋简体" w:eastAsia="方正小标宋简体" w:cs="方正小标宋简体"/>
          <w:b w:val="0"/>
          <w:bCs w:val="0"/>
          <w:color w:val="000000" w:themeColor="text1"/>
          <w:sz w:val="36"/>
          <w:szCs w:val="36"/>
          <w:lang w:val="en-US" w:eastAsia="zh-CN"/>
          <w14:textFill>
            <w14:solidFill>
              <w14:schemeClr w14:val="tx1"/>
            </w14:solidFill>
          </w14:textFill>
        </w:rPr>
      </w:pPr>
      <w:bookmarkStart w:id="71" w:name="_Toc12647"/>
      <w:bookmarkStart w:id="72" w:name="_Toc2420"/>
      <w:r>
        <w:rPr>
          <w:rFonts w:hint="eastAsia" w:ascii="方正小标宋简体" w:hAnsi="方正小标宋简体" w:eastAsia="方正小标宋简体" w:cs="方正小标宋简体"/>
          <w:b w:val="0"/>
          <w:bCs w:val="0"/>
          <w:color w:val="000000" w:themeColor="text1"/>
          <w:sz w:val="36"/>
          <w:szCs w:val="36"/>
          <w:lang w:val="en-US" w:eastAsia="zh-CN"/>
          <w14:textFill>
            <w14:solidFill>
              <w14:schemeClr w14:val="tx1"/>
            </w14:solidFill>
          </w14:textFill>
        </w:rPr>
        <w:t>第一节 强化依法整治力度</w:t>
      </w:r>
      <w:bookmarkEnd w:id="71"/>
      <w:bookmarkEnd w:id="72"/>
    </w:p>
    <w:p>
      <w:pPr>
        <w:pStyle w:val="6"/>
        <w:pageBreakBefore w:val="0"/>
        <w:widowControl w:val="0"/>
        <w:kinsoku/>
        <w:wordWrap/>
        <w:overflowPunct/>
        <w:topLinePunct w:val="0"/>
        <w:autoSpaceDE/>
        <w:autoSpaceDN/>
        <w:bidi w:val="0"/>
        <w:adjustRightInd/>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一、队伍保障</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default"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随着机构改革不断深入，林草执法未能列入国家五大执法体系，尤其自森林公安规范转隶后，林草执法权限和执法力量趋于削弱和边缘化，在处置各类涉林违法案件时其规范性、权威性不足，林草生态安全保护形势依然严峻复杂，为践行生态文明思想，实现绿水青山，元谋县成立林草综合执法大队迫在眉睫。实施林草综合行政执法体系建设项目，依法加强林草综合行政执法工作，是加强林草资源保护，保障林草深改方针政策落实，推进林草重点工程实施，提升林草生态治理能力的重要手段，</w:t>
      </w:r>
      <w:bookmarkStart w:id="108" w:name="_GoBack"/>
      <w:bookmarkEnd w:id="108"/>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对巩固林草事业发展建设成果，促进生态文明建设具有重大意义。</w:t>
      </w:r>
    </w:p>
    <w:p>
      <w:pPr>
        <w:pStyle w:val="6"/>
        <w:pageBreakBefore w:val="0"/>
        <w:widowControl w:val="0"/>
        <w:kinsoku/>
        <w:wordWrap/>
        <w:overflowPunct/>
        <w:topLinePunct w:val="0"/>
        <w:autoSpaceDE/>
        <w:autoSpaceDN/>
        <w:bidi w:val="0"/>
        <w:adjustRightInd/>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二、依法整治</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default"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依法行使行政处罚权，加强对破坏森林和草地资源违法行为的打击整治，做到露头就打、发现就查，从严查处，形成震慑。确保破坏森林和草地资源的违法行为依法查处到位，不断提升执法能力和治理效能，提高林草资源管理质量效益，打好生态环境保护主动战、整体战、持久战，推动全县生态环境持续好转，筑牢生态安全屏障。</w:t>
      </w:r>
    </w:p>
    <w:p>
      <w:pPr>
        <w:pStyle w:val="5"/>
        <w:pageBreakBefore w:val="0"/>
        <w:widowControl w:val="0"/>
        <w:kinsoku/>
        <w:wordWrap/>
        <w:overflowPunct/>
        <w:topLinePunct w:val="0"/>
        <w:autoSpaceDE/>
        <w:autoSpaceDN/>
        <w:bidi w:val="0"/>
        <w:adjustRightInd/>
        <w:spacing w:line="600" w:lineRule="exact"/>
        <w:jc w:val="center"/>
        <w:textAlignment w:val="auto"/>
        <w:rPr>
          <w:rFonts w:hint="eastAsia" w:ascii="方正小标宋简体" w:hAnsi="方正小标宋简体" w:eastAsia="方正小标宋简体" w:cs="方正小标宋简体"/>
          <w:b w:val="0"/>
          <w:bCs w:val="0"/>
          <w:color w:val="000000" w:themeColor="text1"/>
          <w:sz w:val="36"/>
          <w:szCs w:val="36"/>
          <w:lang w:val="en-US" w:eastAsia="zh-CN"/>
          <w14:textFill>
            <w14:solidFill>
              <w14:schemeClr w14:val="tx1"/>
            </w14:solidFill>
          </w14:textFill>
        </w:rPr>
      </w:pPr>
      <w:bookmarkStart w:id="73" w:name="_Toc8538"/>
      <w:bookmarkStart w:id="74" w:name="_Toc28932"/>
      <w:r>
        <w:rPr>
          <w:rFonts w:hint="eastAsia" w:ascii="方正小标宋简体" w:hAnsi="方正小标宋简体" w:eastAsia="方正小标宋简体" w:cs="方正小标宋简体"/>
          <w:b w:val="0"/>
          <w:bCs w:val="0"/>
          <w:color w:val="000000" w:themeColor="text1"/>
          <w:sz w:val="36"/>
          <w:szCs w:val="36"/>
          <w:lang w:val="en-US" w:eastAsia="zh-CN"/>
          <w14:textFill>
            <w14:solidFill>
              <w14:schemeClr w14:val="tx1"/>
            </w14:solidFill>
          </w14:textFill>
        </w:rPr>
        <w:t>第二节 夯实防灾减灾和基础能力建设</w:t>
      </w:r>
      <w:bookmarkEnd w:id="73"/>
      <w:bookmarkEnd w:id="74"/>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420" w:firstLineChars="200"/>
        <w:jc w:val="both"/>
        <w:textAlignment w:val="auto"/>
        <w:rPr>
          <w:color w:val="000000" w:themeColor="text1"/>
          <w14:textFill>
            <w14:solidFill>
              <w14:schemeClr w14:val="tx1"/>
            </w14:solidFill>
          </w14:textFill>
        </w:rPr>
      </w:pPr>
      <w:r>
        <w:rPr>
          <w:rFonts w:hint="eastAsia" w:ascii="仿宋_GB2312" w:hAnsi="仿宋_GB2312" w:eastAsia="仿宋_GB2312" w:cs="仿宋_GB2312"/>
          <w:color w:val="000000" w:themeColor="text1"/>
          <w:sz w:val="2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4889500</wp:posOffset>
                </wp:positionH>
                <wp:positionV relativeFrom="paragraph">
                  <wp:posOffset>2713355</wp:posOffset>
                </wp:positionV>
                <wp:extent cx="812800" cy="273050"/>
                <wp:effectExtent l="4445" t="4445" r="20955" b="8255"/>
                <wp:wrapNone/>
                <wp:docPr id="6" name="文本框 6"/>
                <wp:cNvGraphicFramePr/>
                <a:graphic xmlns:a="http://schemas.openxmlformats.org/drawingml/2006/main">
                  <a:graphicData uri="http://schemas.microsoft.com/office/word/2010/wordprocessingShape">
                    <wps:wsp>
                      <wps:cNvSpPr txBox="1"/>
                      <wps:spPr>
                        <a:xfrm>
                          <a:off x="0" y="0"/>
                          <a:ext cx="812800" cy="273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楷体简体" w:hAnsi="方正楷体简体" w:eastAsia="方正楷体简体" w:cs="方正楷体简体"/>
                                <w:b/>
                                <w:bCs/>
                                <w:lang w:val="en-US" w:eastAsia="zh-CN"/>
                              </w:rPr>
                            </w:pPr>
                            <w:r>
                              <w:rPr>
                                <w:rFonts w:hint="eastAsia" w:ascii="方正楷体简体" w:hAnsi="方正楷体简体" w:eastAsia="方正楷体简体" w:cs="方正楷体简体"/>
                                <w:b/>
                                <w:bCs/>
                                <w:lang w:val="en-US" w:eastAsia="zh-CN"/>
                              </w:rPr>
                              <w:t>单位：万元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5pt;margin-top:213.65pt;height:21.5pt;width:64pt;z-index:251668480;mso-width-relative:page;mso-height-relative:page;" fillcolor="#FFFFFF [3201]" filled="t" stroked="t" coordsize="21600,21600" o:gfxdata="UEsDBAoAAAAAAIdO4kAAAAAAAAAAAAAAAAAEAAAAZHJzL1BLAwQUAAAACACHTuJAD4tIkNcAAAAL&#10;AQAADwAAAGRycy9kb3ducmV2LnhtbE2PwU7DMBBE70j8g7WVuFG7CWpCiFMJJCTEjZILNzfeJlHt&#10;dRS7Tfl7lhMcd3Y086beXb0TF5zjGEjDZq1AIHXBjtRraD9f70sQMRmyxgVCDd8YYdfc3tSmsmGh&#10;D7zsUy84hGJlNAwpTZWUsRvQm7gOExL/jmH2JvE599LOZuFw72Sm1FZ6MxI3DGbClwG70/7sNbxt&#10;n9MXtvbd5lkellZ289FFre9WG/UEIuE1/ZnhF5/RoWGmQziTjcJpKArFW5KGh6zIQbCjfCxZObBS&#10;qBxkU8v/G5ofUEsDBBQAAAAIAIdO4kCaPPJOPQIAAGgEAAAOAAAAZHJzL2Uyb0RvYy54bWytVM1u&#10;EzEQviPxDpbvdJM0bUOUTRVSBSFVtFJBnB2vN1nh9RjbyW55AHgDTly481x5Dj47Pw2EE2IP3hnP&#10;7Dcz38zs6LqtNVsr5ysyOe+edThTRlJRmUXO37+bvRhw5oMwhdBkVM4flefX4+fPRo0dqh4tSRfK&#10;MYAYP2xszpch2GGWeblUtfBnZJWBsSRXiwDVLbLCiQbotc56nc5l1pArrCOpvMftzdbIxwm/LJUM&#10;d2XpVWA658gtpNOlcx7PbDwSw4UTdlnJXRriH7KoRWUQ9AB1I4JgK1edQNWVdOSpDGeS6ozKspIq&#10;1YBqup0/qnlYCqtSLSDH2wNN/v/Byrfre8eqIueXnBlRo0Wbb183339ufnxhl5GexvohvB4s/EL7&#10;ilq0eX/vcRmrbktXxzfqYbCD6McDuaoNTOJy0O0NOrBImHpX552LRH729LF1PrxWVLMo5Nyhd4lS&#10;sb71AYnAde8SY3nSVTGrtE6KW8yn2rG1QJ9n6Yk54pPf3LRhDSo9R+wTiIh9gJhrIT+eIgBPG8BG&#10;Tra1Rym083ZH1JyKR/DkaDto3spZBdxb4cO9cJgsEIBtCXc4Sk1IhnYSZ0tyn/92H/3RcFg5azCp&#10;OfefVsIpzvQbg1F42e3342gnpX9x1YPiji3zY4tZ1VMCSV3spZVJjP5B78XSUf0BSzWJUWESRiJ2&#10;zsNenIbt/mAppZpMkhOG2Ypwax6sjNCRXEOTVaCySq2LNG252bGHcU7t2a1e3JdjPXk9/SDG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Pi0iQ1wAAAAsBAAAPAAAAAAAAAAEAIAAAACIAAABkcnMv&#10;ZG93bnJldi54bWxQSwECFAAUAAAACACHTuJAmjzyTj0CAABoBAAADgAAAAAAAAABACAAAAAmAQAA&#10;ZHJzL2Uyb0RvYy54bWxQSwUGAAAAAAYABgBZAQAA1QUAAAAA&#10;">
                <v:fill on="t" focussize="0,0"/>
                <v:stroke weight="0.5pt" color="#000000 [3204]" joinstyle="round"/>
                <v:imagedata o:title=""/>
                <o:lock v:ext="edit" aspectratio="f"/>
                <v:textbox>
                  <w:txbxContent>
                    <w:p>
                      <w:pPr>
                        <w:rPr>
                          <w:rFonts w:hint="eastAsia" w:ascii="方正楷体简体" w:hAnsi="方正楷体简体" w:eastAsia="方正楷体简体" w:cs="方正楷体简体"/>
                          <w:b/>
                          <w:bCs/>
                          <w:lang w:val="en-US" w:eastAsia="zh-CN"/>
                        </w:rPr>
                      </w:pPr>
                      <w:r>
                        <w:rPr>
                          <w:rFonts w:hint="eastAsia" w:ascii="方正楷体简体" w:hAnsi="方正楷体简体" w:eastAsia="方正楷体简体" w:cs="方正楷体简体"/>
                          <w:b/>
                          <w:bCs/>
                          <w:lang w:val="en-US" w:eastAsia="zh-CN"/>
                        </w:rPr>
                        <w:t>单位：万元</w:t>
                      </w:r>
                    </w:p>
                  </w:txbxContent>
                </v:textbox>
              </v:shape>
            </w:pict>
          </mc:Fallback>
        </mc:AlternateContent>
      </w:r>
      <w:r>
        <w:rPr>
          <w:rFonts w:hint="eastAsia" w:ascii="仿宋_GB2312" w:hAnsi="仿宋_GB2312" w:eastAsia="仿宋_GB2312" w:cs="仿宋_GB2312"/>
          <w:color w:val="000000" w:themeColor="text1"/>
          <w14:textFill>
            <w14:solidFill>
              <w14:schemeClr w14:val="tx1"/>
            </w14:solidFill>
          </w14:textFill>
        </w:rPr>
        <w:drawing>
          <wp:anchor distT="0" distB="0" distL="114300" distR="114300" simplePos="0" relativeHeight="251667456" behindDoc="0" locked="0" layoutInCell="1" allowOverlap="1">
            <wp:simplePos x="0" y="0"/>
            <wp:positionH relativeFrom="column">
              <wp:posOffset>20955</wp:posOffset>
            </wp:positionH>
            <wp:positionV relativeFrom="paragraph">
              <wp:posOffset>2377440</wp:posOffset>
            </wp:positionV>
            <wp:extent cx="5750560" cy="2204085"/>
            <wp:effectExtent l="5080" t="4445" r="16510" b="20320"/>
            <wp:wrapTopAndBottom/>
            <wp:docPr id="89401" name="图表 89400" descr="7b0a202020202263686172745265734964223a2022383733373033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贯彻落实习近平总书记“生命至上”“安全第一”“源头管控”“科学施救”重要指示精神，坚持预防为主，加强与应急、公安、气象等部门协调配合，一盘棋共抓，一体化共建。全面提升林草防灾减灾设施装备保障能力，加强森林草地防火和林草有害生物防治，加强野生动物疫源疫病监测防控，提高林业草地风险防控能力。</w:t>
      </w:r>
    </w:p>
    <w:p>
      <w:pPr>
        <w:pStyle w:val="8"/>
        <w:pageBreakBefore w:val="0"/>
        <w:widowControl w:val="0"/>
        <w:kinsoku/>
        <w:wordWrap/>
        <w:overflowPunct/>
        <w:topLinePunct w:val="0"/>
        <w:autoSpaceDE/>
        <w:autoSpaceDN/>
        <w:bidi w:val="0"/>
        <w:adjustRightInd/>
        <w:spacing w:line="600" w:lineRule="exact"/>
        <w:jc w:val="center"/>
        <w:textAlignment w:val="auto"/>
        <w:rPr>
          <w:rFonts w:hint="eastAsia" w:ascii="方正楷体简体" w:hAnsi="方正楷体简体" w:eastAsia="方正楷体简体" w:cs="方正楷体简体"/>
          <w:b/>
          <w:bCs/>
          <w:color w:val="000000" w:themeColor="text1"/>
          <w:sz w:val="24"/>
          <w:szCs w:val="22"/>
          <w:lang w:val="en-US" w:eastAsia="zh-CN"/>
          <w14:textFill>
            <w14:solidFill>
              <w14:schemeClr w14:val="tx1"/>
            </w14:solidFill>
          </w14:textFill>
        </w:rPr>
      </w:pPr>
      <w:r>
        <w:rPr>
          <w:rFonts w:hint="eastAsia" w:ascii="方正楷体简体" w:hAnsi="方正楷体简体" w:eastAsia="方正楷体简体" w:cs="方正楷体简体"/>
          <w:b/>
          <w:bCs/>
          <w:color w:val="000000" w:themeColor="text1"/>
          <w:sz w:val="24"/>
          <w:szCs w:val="22"/>
          <w:lang w:val="en-US" w:eastAsia="zh-CN"/>
          <w14:textFill>
            <w14:solidFill>
              <w14:schemeClr w14:val="tx1"/>
            </w14:solidFill>
          </w14:textFill>
        </w:rPr>
        <w:t>图6-2  “十四五”防灾减灾基础能力建设计划项目投资金额</w:t>
      </w:r>
    </w:p>
    <w:p>
      <w:pPr>
        <w:pStyle w:val="6"/>
        <w:pageBreakBefore w:val="0"/>
        <w:widowControl w:val="0"/>
        <w:kinsoku/>
        <w:wordWrap/>
        <w:overflowPunct/>
        <w:topLinePunct w:val="0"/>
        <w:autoSpaceDE/>
        <w:autoSpaceDN/>
        <w:bidi w:val="0"/>
        <w:adjustRightInd/>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bookmarkStart w:id="75" w:name="_Toc54190313"/>
      <w:bookmarkStart w:id="76" w:name="_Toc54190050"/>
      <w:bookmarkStart w:id="77" w:name="_Toc54190186"/>
      <w:r>
        <w:rPr>
          <w:rFonts w:hint="eastAsia" w:ascii="黑体" w:hAnsi="黑体" w:eastAsia="黑体" w:cs="黑体"/>
          <w:b w:val="0"/>
          <w:bCs w:val="0"/>
          <w:color w:val="000000" w:themeColor="text1"/>
          <w:lang w:val="en-US" w:eastAsia="zh-CN"/>
          <w14:textFill>
            <w14:solidFill>
              <w14:schemeClr w14:val="tx1"/>
            </w14:solidFill>
          </w14:textFill>
        </w:rPr>
        <w:t>一、严守生态保护红线</w:t>
      </w:r>
      <w:bookmarkEnd w:id="75"/>
      <w:bookmarkEnd w:id="76"/>
      <w:bookmarkEnd w:id="77"/>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严守生态保护红线、资源消耗上线，严格落实保护发展森林资源目标责任制。健全覆盖全县、分级负责、上下联动、齐抓共管的常态化森林资源保护管理机制，巩固完善林草资源监测体系，做好资源数据年度更新。</w:t>
      </w:r>
    </w:p>
    <w:p>
      <w:pPr>
        <w:pStyle w:val="38"/>
        <w:pageBreakBefore w:val="0"/>
        <w:widowControl w:val="0"/>
        <w:kinsoku/>
        <w:wordWrap/>
        <w:overflowPunct/>
        <w:topLinePunct w:val="0"/>
        <w:autoSpaceDE/>
        <w:autoSpaceDN/>
        <w:bidi w:val="0"/>
        <w:adjustRightInd/>
        <w:spacing w:line="600" w:lineRule="exact"/>
        <w:ind w:firstLine="640"/>
        <w:textAlignment w:val="auto"/>
        <w:rPr>
          <w:rFonts w:hint="eastAsia" w:ascii="楷体_GB2312" w:hAnsi="楷体_GB2312" w:eastAsia="楷体_GB2312" w:cs="楷体_GB2312"/>
          <w:b w:val="0"/>
          <w:bCs w:val="0"/>
          <w:color w:val="000000" w:themeColor="text1"/>
          <w:lang w:val="en-US" w:eastAsia="zh-CN"/>
          <w14:textFill>
            <w14:solidFill>
              <w14:schemeClr w14:val="tx1"/>
            </w14:solidFill>
          </w14:textFill>
        </w:rPr>
      </w:pPr>
      <w:bookmarkStart w:id="78" w:name="_Toc54190051"/>
      <w:bookmarkStart w:id="79" w:name="_Toc54190187"/>
      <w:bookmarkStart w:id="80" w:name="_Toc54190314"/>
      <w:r>
        <w:rPr>
          <w:rFonts w:hint="eastAsia" w:ascii="楷体_GB2312" w:hAnsi="楷体_GB2312" w:eastAsia="楷体_GB2312" w:cs="楷体_GB2312"/>
          <w:b w:val="0"/>
          <w:bCs w:val="0"/>
          <w:color w:val="000000" w:themeColor="text1"/>
          <w:lang w:val="en-US" w:eastAsia="zh-CN"/>
          <w14:textFill>
            <w14:solidFill>
              <w14:schemeClr w14:val="tx1"/>
            </w14:solidFill>
          </w14:textFill>
        </w:rPr>
        <w:t>（一）全面保护天然林</w:t>
      </w:r>
      <w:bookmarkEnd w:id="78"/>
      <w:bookmarkEnd w:id="79"/>
      <w:bookmarkEnd w:id="80"/>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全面保护天然林，全面停止天然林商业性采伐，完善天然林保护制度，建立用途管控制度、健全修复制度、落实监管制度。逐步完善天然林效益监测与评估，建立天然林保护修复效益监测评估制度。</w:t>
      </w:r>
    </w:p>
    <w:p>
      <w:pPr>
        <w:pStyle w:val="38"/>
        <w:pageBreakBefore w:val="0"/>
        <w:widowControl w:val="0"/>
        <w:kinsoku/>
        <w:wordWrap/>
        <w:overflowPunct/>
        <w:topLinePunct w:val="0"/>
        <w:autoSpaceDE/>
        <w:autoSpaceDN/>
        <w:bidi w:val="0"/>
        <w:adjustRightInd/>
        <w:spacing w:line="600" w:lineRule="exact"/>
        <w:ind w:firstLine="640"/>
        <w:textAlignment w:val="auto"/>
        <w:rPr>
          <w:rFonts w:hint="default" w:ascii="楷体_GB2312" w:hAnsi="楷体_GB2312" w:eastAsia="楷体_GB2312" w:cs="楷体_GB2312"/>
          <w:b w:val="0"/>
          <w:bCs w:val="0"/>
          <w:color w:val="000000" w:themeColor="text1"/>
          <w:lang w:val="en-US" w:eastAsia="zh-CN"/>
          <w14:textFill>
            <w14:solidFill>
              <w14:schemeClr w14:val="tx1"/>
            </w14:solidFill>
          </w14:textFill>
        </w:rPr>
      </w:pPr>
      <w:bookmarkStart w:id="81" w:name="_Toc54190188"/>
      <w:bookmarkStart w:id="82" w:name="_Toc54190052"/>
      <w:bookmarkStart w:id="83" w:name="_Toc54190315"/>
      <w:r>
        <w:rPr>
          <w:rFonts w:hint="eastAsia" w:ascii="楷体_GB2312" w:hAnsi="楷体_GB2312" w:eastAsia="楷体_GB2312" w:cs="楷体_GB2312"/>
          <w:b w:val="0"/>
          <w:bCs w:val="0"/>
          <w:color w:val="000000" w:themeColor="text1"/>
          <w:lang w:val="en-US" w:eastAsia="zh-CN"/>
          <w14:textFill>
            <w14:solidFill>
              <w14:schemeClr w14:val="tx1"/>
            </w14:solidFill>
          </w14:textFill>
        </w:rPr>
        <w:t>（二）全面保护林地</w:t>
      </w:r>
      <w:bookmarkEnd w:id="81"/>
      <w:bookmarkEnd w:id="82"/>
      <w:bookmarkEnd w:id="83"/>
      <w:r>
        <w:rPr>
          <w:rFonts w:hint="eastAsia" w:ascii="楷体_GB2312" w:hAnsi="楷体_GB2312" w:eastAsia="楷体_GB2312" w:cs="楷体_GB2312"/>
          <w:b w:val="0"/>
          <w:bCs w:val="0"/>
          <w:color w:val="000000" w:themeColor="text1"/>
          <w:lang w:val="en-US" w:eastAsia="zh-CN"/>
          <w14:textFill>
            <w14:solidFill>
              <w14:schemeClr w14:val="tx1"/>
            </w14:solidFill>
          </w14:textFill>
        </w:rPr>
        <w:t>湿地草地</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依据编制的新一轮《元谋县林地草地保护与利用规划研究》，科学确定林地湿地草地保有量，实行林地湿地草地总量控制、定额管理和林地审核审批制度。健全林地湿地草地保护利用规划体系，严格限制重点区域林地转为建设用地，确保林地湿地草地保有量不减少，要建立补充林地湿地草地资源库并与国土空间规划相衔接，统一上图入库管理。</w:t>
      </w:r>
    </w:p>
    <w:p>
      <w:pPr>
        <w:pStyle w:val="38"/>
        <w:pageBreakBefore w:val="0"/>
        <w:widowControl w:val="0"/>
        <w:kinsoku/>
        <w:wordWrap/>
        <w:overflowPunct/>
        <w:topLinePunct w:val="0"/>
        <w:autoSpaceDE/>
        <w:autoSpaceDN/>
        <w:bidi w:val="0"/>
        <w:adjustRightInd/>
        <w:spacing w:line="600" w:lineRule="exact"/>
        <w:ind w:firstLine="640"/>
        <w:textAlignment w:val="auto"/>
        <w:rPr>
          <w:rFonts w:hint="eastAsia" w:ascii="楷体_GB2312" w:hAnsi="楷体_GB2312" w:eastAsia="楷体_GB2312" w:cs="楷体_GB2312"/>
          <w:b w:val="0"/>
          <w:bCs w:val="0"/>
          <w:color w:val="000000" w:themeColor="text1"/>
          <w:lang w:val="en-US" w:eastAsia="zh-CN"/>
          <w14:textFill>
            <w14:solidFill>
              <w14:schemeClr w14:val="tx1"/>
            </w14:solidFill>
          </w14:textFill>
        </w:rPr>
      </w:pPr>
      <w:bookmarkStart w:id="84" w:name="_Toc54190189"/>
      <w:bookmarkStart w:id="85" w:name="_Toc54190316"/>
      <w:bookmarkStart w:id="86" w:name="_Toc54190053"/>
      <w:r>
        <w:rPr>
          <w:rFonts w:hint="eastAsia" w:ascii="楷体_GB2312" w:hAnsi="楷体_GB2312" w:eastAsia="楷体_GB2312" w:cs="楷体_GB2312"/>
          <w:b w:val="0"/>
          <w:bCs w:val="0"/>
          <w:color w:val="000000" w:themeColor="text1"/>
          <w:lang w:val="en-US" w:eastAsia="zh-CN"/>
          <w14:textFill>
            <w14:solidFill>
              <w14:schemeClr w14:val="tx1"/>
            </w14:solidFill>
          </w14:textFill>
        </w:rPr>
        <w:t>（三）强化公益林管理</w:t>
      </w:r>
      <w:bookmarkEnd w:id="84"/>
      <w:bookmarkEnd w:id="85"/>
      <w:bookmarkEnd w:id="86"/>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稳步推进森林生态效益补偿工作，对全县公益林实行严格保护、科学管理、合理补偿。对公益林中生态功能低下的疏林、残次林等低质低效林，采取林分改造、森林抚育等措施，提高公益林质量和生态功能，促进公益林形成高效、稳定的森林生态系统。</w:t>
      </w:r>
    </w:p>
    <w:p>
      <w:pPr>
        <w:pStyle w:val="6"/>
        <w:pageBreakBefore w:val="0"/>
        <w:widowControl w:val="0"/>
        <w:kinsoku/>
        <w:wordWrap/>
        <w:overflowPunct/>
        <w:topLinePunct w:val="0"/>
        <w:autoSpaceDE/>
        <w:autoSpaceDN/>
        <w:bidi w:val="0"/>
        <w:adjustRightInd/>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bookmarkStart w:id="87" w:name="_Toc54190190"/>
      <w:bookmarkStart w:id="88" w:name="_Toc54190317"/>
      <w:bookmarkStart w:id="89" w:name="_Toc54190054"/>
      <w:r>
        <w:rPr>
          <w:rFonts w:hint="eastAsia" w:ascii="黑体" w:hAnsi="黑体" w:eastAsia="黑体" w:cs="黑体"/>
          <w:b w:val="0"/>
          <w:bCs w:val="0"/>
          <w:color w:val="000000" w:themeColor="text1"/>
          <w:lang w:val="en-US" w:eastAsia="zh-CN"/>
          <w14:textFill>
            <w14:solidFill>
              <w14:schemeClr w14:val="tx1"/>
            </w14:solidFill>
          </w14:textFill>
        </w:rPr>
        <w:t>二、加强管理体系建设</w:t>
      </w:r>
      <w:bookmarkEnd w:id="87"/>
      <w:bookmarkEnd w:id="88"/>
      <w:bookmarkEnd w:id="89"/>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全面推行“监测、核查、执法全覆盖”的森林督查机制，加强森林资源防灾减灾体系建设，提升森林资源管理水平，保持常态化打击破坏森林资源行为的高压态势；加强林草工作基层管理机构和队伍建设，健全各级森林资源管理机构，为资源林政管理提供技术支撑。规范护林员管理工作，完善护林员巡护管护制度，加强技术培训与监督考核。</w:t>
      </w:r>
    </w:p>
    <w:p>
      <w:pPr>
        <w:pStyle w:val="3"/>
        <w:ind w:left="0" w:leftChars="0" w:firstLine="0" w:firstLineChars="0"/>
        <w:rPr>
          <w:rFonts w:hint="eastAsia"/>
          <w:color w:val="000000" w:themeColor="text1"/>
          <w:lang w:val="en-US" w:eastAsia="zh-CN"/>
          <w14:textFill>
            <w14:solidFill>
              <w14:schemeClr w14:val="tx1"/>
            </w14:solidFill>
          </w14:textFill>
        </w:rPr>
      </w:pPr>
    </w:p>
    <w:p>
      <w:pPr>
        <w:pStyle w:val="3"/>
        <w:ind w:left="0" w:leftChars="0" w:firstLine="0" w:firstLineChars="0"/>
        <w:rPr>
          <w:rFonts w:hint="eastAsia"/>
          <w:color w:val="000000" w:themeColor="text1"/>
          <w:lang w:val="en-US" w:eastAsia="zh-CN"/>
          <w14:textFill>
            <w14:solidFill>
              <w14:schemeClr w14:val="tx1"/>
            </w14:solidFill>
          </w14:textFill>
        </w:rPr>
      </w:pPr>
    </w:p>
    <w:tbl>
      <w:tblPr>
        <w:tblStyle w:val="14"/>
        <w:tblW w:w="9071" w:type="dxa"/>
        <w:jc w:val="center"/>
        <w:tblInd w:w="0" w:type="dxa"/>
        <w:shd w:val="clear" w:color="auto" w:fill="auto"/>
        <w:tblLayout w:type="fixed"/>
        <w:tblCellMar>
          <w:top w:w="0" w:type="dxa"/>
          <w:left w:w="108" w:type="dxa"/>
          <w:bottom w:w="0" w:type="dxa"/>
          <w:right w:w="108" w:type="dxa"/>
        </w:tblCellMar>
      </w:tblPr>
      <w:tblGrid>
        <w:gridCol w:w="9064"/>
        <w:gridCol w:w="7"/>
      </w:tblGrid>
      <w:tr>
        <w:tblPrEx>
          <w:shd w:val="clear" w:color="auto" w:fill="auto"/>
          <w:tblLayout w:type="fixed"/>
        </w:tblPrEx>
        <w:trPr>
          <w:trHeight w:val="197" w:hRule="atLeast"/>
          <w:jc w:val="center"/>
        </w:trPr>
        <w:tc>
          <w:tcPr>
            <w:tcW w:w="9071" w:type="dxa"/>
            <w:gridSpan w:val="2"/>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方正楷体简体" w:hAnsi="方正楷体简体" w:eastAsia="方正楷体简体" w:cs="方正楷体简体"/>
                <w:b/>
                <w:bCs/>
                <w:i w:val="0"/>
                <w:iCs w:val="0"/>
                <w:color w:val="000000" w:themeColor="text1"/>
                <w:kern w:val="0"/>
                <w:sz w:val="21"/>
                <w:szCs w:val="21"/>
                <w:u w:val="none"/>
                <w:lang w:val="en-US" w:eastAsia="zh-CN" w:bidi="ar"/>
                <w14:textFill>
                  <w14:solidFill>
                    <w14:schemeClr w14:val="tx1"/>
                  </w14:solidFill>
                </w14:textFill>
              </w:rPr>
            </w:pPr>
            <w:r>
              <w:rPr>
                <w:rFonts w:hint="eastAsia" w:ascii="方正楷体简体" w:hAnsi="方正楷体简体" w:eastAsia="方正楷体简体" w:cs="方正楷体简体"/>
                <w:b/>
                <w:bCs/>
                <w:color w:val="000000" w:themeColor="text1"/>
                <w:sz w:val="24"/>
                <w:szCs w:val="24"/>
                <w14:textFill>
                  <w14:solidFill>
                    <w14:schemeClr w14:val="tx1"/>
                  </w14:solidFill>
                </w14:textFill>
              </w:rPr>
              <w:t>专栏</w:t>
            </w:r>
            <w:r>
              <w:rPr>
                <w:rFonts w:hint="eastAsia" w:ascii="方正楷体简体" w:hAnsi="方正楷体简体" w:eastAsia="方正楷体简体" w:cs="方正楷体简体"/>
                <w:b/>
                <w:bCs/>
                <w:color w:val="000000" w:themeColor="text1"/>
                <w:sz w:val="24"/>
                <w:szCs w:val="24"/>
                <w:lang w:val="en-US" w:eastAsia="zh-CN"/>
                <w14:textFill>
                  <w14:solidFill>
                    <w14:schemeClr w14:val="tx1"/>
                  </w14:solidFill>
                </w14:textFill>
              </w:rPr>
              <w:t>6</w:t>
            </w:r>
            <w:r>
              <w:rPr>
                <w:rFonts w:hint="eastAsia" w:ascii="方正楷体简体" w:hAnsi="方正楷体简体" w:eastAsia="方正楷体简体" w:cs="方正楷体简体"/>
                <w:b/>
                <w:bCs/>
                <w:color w:val="000000" w:themeColor="text1"/>
                <w:sz w:val="24"/>
                <w:szCs w:val="24"/>
                <w14:textFill>
                  <w14:solidFill>
                    <w14:schemeClr w14:val="tx1"/>
                  </w14:solidFill>
                </w14:textFill>
              </w:rPr>
              <w:t>-</w:t>
            </w:r>
            <w:r>
              <w:rPr>
                <w:rFonts w:hint="eastAsia" w:ascii="方正楷体简体" w:hAnsi="方正楷体简体" w:eastAsia="方正楷体简体" w:cs="方正楷体简体"/>
                <w:b/>
                <w:bCs/>
                <w:color w:val="000000" w:themeColor="text1"/>
                <w:sz w:val="24"/>
                <w:szCs w:val="24"/>
                <w:lang w:val="en-US" w:eastAsia="zh-CN"/>
                <w14:textFill>
                  <w14:solidFill>
                    <w14:schemeClr w14:val="tx1"/>
                  </w14:solidFill>
                </w14:textFill>
              </w:rPr>
              <w:t>2</w:t>
            </w:r>
            <w:r>
              <w:rPr>
                <w:rFonts w:hint="eastAsia" w:ascii="方正楷体简体" w:hAnsi="方正楷体简体" w:eastAsia="方正楷体简体" w:cs="方正楷体简体"/>
                <w:b/>
                <w:bCs/>
                <w:color w:val="000000" w:themeColor="text1"/>
                <w:sz w:val="24"/>
                <w:szCs w:val="24"/>
                <w14:textFill>
                  <w14:solidFill>
                    <w14:schemeClr w14:val="tx1"/>
                  </w14:solidFill>
                </w14:textFill>
              </w:rPr>
              <w:t>：</w:t>
            </w:r>
            <w:r>
              <w:rPr>
                <w:rFonts w:hint="eastAsia" w:ascii="方正楷体简体" w:hAnsi="方正楷体简体" w:eastAsia="方正楷体简体" w:cs="方正楷体简体"/>
                <w:b/>
                <w:bCs/>
                <w:color w:val="000000" w:themeColor="text1"/>
                <w:sz w:val="24"/>
                <w:szCs w:val="24"/>
                <w:lang w:val="en-US" w:eastAsia="zh-CN"/>
                <w14:textFill>
                  <w14:solidFill>
                    <w14:schemeClr w14:val="tx1"/>
                  </w14:solidFill>
                </w14:textFill>
              </w:rPr>
              <w:t>防灾减灾和基础能力建设</w:t>
            </w:r>
          </w:p>
        </w:tc>
      </w:tr>
      <w:tr>
        <w:tblPrEx>
          <w:shd w:val="clear" w:color="auto" w:fill="auto"/>
          <w:tblLayout w:type="fixed"/>
          <w:tblCellMar>
            <w:top w:w="0" w:type="dxa"/>
            <w:left w:w="108" w:type="dxa"/>
            <w:bottom w:w="0" w:type="dxa"/>
            <w:right w:w="108" w:type="dxa"/>
          </w:tblCellMar>
        </w:tblPrEx>
        <w:trPr>
          <w:gridAfter w:val="1"/>
          <w:wAfter w:w="7" w:type="dxa"/>
          <w:trHeight w:val="666" w:hRule="atLeast"/>
          <w:jc w:val="center"/>
        </w:trPr>
        <w:tc>
          <w:tcPr>
            <w:tcW w:w="906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numPr>
                <w:ilvl w:val="0"/>
                <w:numId w:val="11"/>
              </w:numPr>
              <w:suppressLineNumbers w:val="0"/>
              <w:jc w:val="left"/>
              <w:textAlignment w:val="cente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元谋县长江经济带干流支流森林草原防灭火基础设施建设项目：</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建设600平方米县级扑火专业队训练场地；升级改造野外高清智能监控摄像头80个；购置中小型扑火机具100台；在国有林场、10乡镇建设防火隔离带300公里，购置通信设备50套，特种应急救援车辆12辆；建设防火专业水池30个；森林草原防灭火指挥信息化建设1套，瞭望台升级改造2个。</w:t>
            </w:r>
          </w:p>
          <w:p>
            <w:pPr>
              <w:keepNext w:val="0"/>
              <w:keepLines w:val="0"/>
              <w:widowControl/>
              <w:numPr>
                <w:ilvl w:val="0"/>
                <w:numId w:val="11"/>
              </w:numPr>
              <w:suppressLineNumbers w:val="0"/>
              <w:jc w:val="left"/>
              <w:textAlignment w:val="cente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元谋县森林和草原有害生物防治项目：</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开展林业和草原有害生物防治，防治面积45.5万亩：7.5万亩云南松、4万亩红火蚁入侵地、7万亩核桃、1万亩桉树、16万亩经济林及10万亩草原有害生物防治。加强基础设施建设：规划建设林草检疫检验中心1个，林草检疫检验中心建为标准化站。</w:t>
            </w:r>
          </w:p>
          <w:p>
            <w:pPr>
              <w:keepNext w:val="0"/>
              <w:keepLines w:val="0"/>
              <w:widowControl/>
              <w:numPr>
                <w:ilvl w:val="0"/>
                <w:numId w:val="11"/>
              </w:numPr>
              <w:suppressLineNumbers w:val="0"/>
              <w:jc w:val="left"/>
              <w:textAlignment w:val="cente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元谋县森林草原病虫害监测信息系统建设项目：</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建立以高清摄像在重点林区和草原重点区进行监测病虫害为主的信息网络系统，以无人机为移动监测为辅助信息化系统：在国有林场3个分场每个林场安装3套高清摄像和接收终端，在羊街镇、姜驿乡云南松重点分布区安装12套高清摄像和在乡镇林业服务中心安装接收终端；在元谋县林业和草原局建立信息监测监控中心，安装接收终端；购置监测无人机2架。</w:t>
            </w:r>
          </w:p>
          <w:p>
            <w:pPr>
              <w:keepNext w:val="0"/>
              <w:keepLines w:val="0"/>
              <w:widowControl/>
              <w:numPr>
                <w:ilvl w:val="0"/>
                <w:numId w:val="11"/>
              </w:numPr>
              <w:suppressLineNumbers w:val="0"/>
              <w:jc w:val="left"/>
              <w:textAlignment w:val="cente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pPr>
            <w:r>
              <w:rPr>
                <w:rFonts w:hint="eastAsia" w:ascii="方正楷体简体" w:hAnsi="方正楷体简体" w:eastAsia="方正楷体简体" w:cs="方正楷体简体"/>
                <w:b/>
                <w:bCs/>
                <w:i w:val="0"/>
                <w:iCs w:val="0"/>
                <w:color w:val="000000" w:themeColor="text1"/>
                <w:kern w:val="0"/>
                <w:sz w:val="24"/>
                <w:szCs w:val="24"/>
                <w:u w:val="none"/>
                <w:lang w:val="en-US" w:eastAsia="zh-CN" w:bidi="ar"/>
                <w14:textFill>
                  <w14:solidFill>
                    <w14:schemeClr w14:val="tx1"/>
                  </w14:solidFill>
                </w14:textFill>
              </w:rPr>
              <w:t>元谋县森林和草原病虫害防治项目：</w:t>
            </w:r>
            <w:r>
              <w:rPr>
                <w:rFonts w:hint="eastAsia" w:ascii="方正楷体简体" w:hAnsi="方正楷体简体" w:eastAsia="方正楷体简体" w:cs="方正楷体简体"/>
                <w:i w:val="0"/>
                <w:iCs w:val="0"/>
                <w:color w:val="000000" w:themeColor="text1"/>
                <w:kern w:val="0"/>
                <w:sz w:val="24"/>
                <w:szCs w:val="24"/>
                <w:u w:val="none"/>
                <w:lang w:val="en-US" w:eastAsia="zh-CN" w:bidi="ar"/>
                <w14:textFill>
                  <w14:solidFill>
                    <w14:schemeClr w14:val="tx1"/>
                  </w14:solidFill>
                </w14:textFill>
              </w:rPr>
              <w:t>每年州下达森林病虫害防治任务3万亩，草原病虫害和毒害草防治2万亩，合计防治5万亩，5年防治面积25万亩。</w:t>
            </w:r>
          </w:p>
        </w:tc>
      </w:tr>
    </w:tbl>
    <w:p>
      <w:pPr>
        <w:widowControl w:val="0"/>
        <w:numPr>
          <w:ilvl w:val="0"/>
          <w:numId w:val="0"/>
        </w:numPr>
        <w:jc w:val="center"/>
        <w:rPr>
          <w:rFonts w:hint="eastAsia" w:ascii="方正小标宋简体" w:hAnsi="方正小标宋简体" w:eastAsia="方正小标宋简体" w:cs="方正小标宋简体"/>
          <w:bCs/>
          <w:color w:val="000000" w:themeColor="text1"/>
          <w:kern w:val="44"/>
          <w:sz w:val="44"/>
          <w:szCs w:val="44"/>
          <w:lang w:val="en-US" w:eastAsia="zh-CN" w:bidi="ar"/>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spacing w:before="160" w:beforeLines="50" w:after="160" w:afterLines="50" w:line="600" w:lineRule="exact"/>
        <w:jc w:val="center"/>
        <w:textAlignment w:val="auto"/>
        <w:outlineLvl w:val="0"/>
        <w:rPr>
          <w:rFonts w:hint="eastAsia" w:ascii="方正小标宋简体" w:hAnsi="方正小标宋简体" w:eastAsia="方正小标宋简体" w:cs="方正小标宋简体"/>
          <w:bCs/>
          <w:color w:val="000000" w:themeColor="text1"/>
          <w:kern w:val="44"/>
          <w:sz w:val="44"/>
          <w:szCs w:val="44"/>
          <w:lang w:val="en-US" w:eastAsia="zh-CN" w:bidi="ar"/>
          <w14:textFill>
            <w14:solidFill>
              <w14:schemeClr w14:val="tx1"/>
            </w14:solidFill>
          </w14:textFill>
        </w:rPr>
      </w:pPr>
      <w:bookmarkStart w:id="90" w:name="_Toc3765"/>
      <w:r>
        <w:rPr>
          <w:rFonts w:hint="eastAsia" w:ascii="方正小标宋简体" w:hAnsi="方正小标宋简体" w:eastAsia="方正小标宋简体" w:cs="方正小标宋简体"/>
          <w:bCs/>
          <w:color w:val="000000" w:themeColor="text1"/>
          <w:kern w:val="44"/>
          <w:sz w:val="44"/>
          <w:szCs w:val="44"/>
          <w:lang w:val="en-US" w:eastAsia="zh-CN" w:bidi="ar"/>
          <w14:textFill>
            <w14:solidFill>
              <w14:schemeClr w14:val="tx1"/>
            </w14:solidFill>
          </w14:textFill>
        </w:rPr>
        <w:t>第八章 保障措施</w:t>
      </w:r>
      <w:bookmarkEnd w:id="69"/>
      <w:bookmarkEnd w:id="90"/>
    </w:p>
    <w:p>
      <w:pPr>
        <w:pStyle w:val="5"/>
        <w:pageBreakBefore w:val="0"/>
        <w:widowControl w:val="0"/>
        <w:kinsoku/>
        <w:wordWrap/>
        <w:overflowPunct/>
        <w:topLinePunct w:val="0"/>
        <w:bidi w:val="0"/>
        <w:snapToGrid/>
        <w:spacing w:line="600" w:lineRule="exact"/>
        <w:jc w:val="center"/>
        <w:textAlignment w:val="auto"/>
        <w:rPr>
          <w:rFonts w:hint="eastAsia" w:ascii="方正小标宋简体" w:hAnsi="方正小标宋简体" w:eastAsia="方正小标宋简体" w:cs="方正小标宋简体"/>
          <w:b w:val="0"/>
          <w:bCs w:val="0"/>
          <w:color w:val="000000" w:themeColor="text1"/>
          <w:sz w:val="36"/>
          <w:szCs w:val="36"/>
          <w:lang w:val="en-US" w:eastAsia="zh-CN"/>
          <w14:textFill>
            <w14:solidFill>
              <w14:schemeClr w14:val="tx1"/>
            </w14:solidFill>
          </w14:textFill>
        </w:rPr>
      </w:pPr>
      <w:bookmarkStart w:id="91" w:name="_Toc6241"/>
      <w:bookmarkStart w:id="92" w:name="_Toc20515"/>
      <w:bookmarkStart w:id="93" w:name="_Toc30516"/>
      <w:bookmarkStart w:id="94" w:name="_Toc71207784"/>
      <w:r>
        <w:rPr>
          <w:rFonts w:hint="eastAsia" w:ascii="方正小标宋简体" w:hAnsi="方正小标宋简体" w:eastAsia="方正小标宋简体" w:cs="方正小标宋简体"/>
          <w:b w:val="0"/>
          <w:bCs w:val="0"/>
          <w:color w:val="000000" w:themeColor="text1"/>
          <w:sz w:val="36"/>
          <w:szCs w:val="36"/>
          <w:lang w:val="en-US" w:eastAsia="zh-CN"/>
          <w14:textFill>
            <w14:solidFill>
              <w14:schemeClr w14:val="tx1"/>
            </w14:solidFill>
          </w14:textFill>
        </w:rPr>
        <w:t>第一节  全面加强党的领导</w:t>
      </w:r>
      <w:bookmarkEnd w:id="91"/>
      <w:bookmarkEnd w:id="92"/>
      <w:bookmarkEnd w:id="93"/>
      <w:bookmarkEnd w:id="94"/>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坚持党的全面领导，上下一心，协同推进，形成林草保护和发展的强大合力，确保规划落地生根、顺利实施。各级党委和政府要将林业草原建设作为推进生态文明建设、建设美丽县城和维护国家生态安全的一项长期性和基础性任务，摆在更加突出位置。建立由党政主要负责人牵头的规划实施领导机制，实行“一把手”负责制，充分发挥党总揽全局、协调各方的核心作用，完善发展战略制定、重大政策方针执行，健全决策咨询。县林业和草原局要站在统领全局的高度，切实加强组织领导，主动担当作为，严格落实主体责任。推动部门协同，加强与县发展改革、财政、自然资源、农业农村、交通运输、水务、生态环境等部门的沟通协调，解决规划实施过程中跨部门、跨行业、跨地区的重大问题。实行党政领导目标责任制，建立规划实施督促机制，结合职能抓好主要指标及任务的细化分解，切实加强日常监督指导，定期开展监测评估，适时发布结果，并作为有关资金项目安排的重要依据。</w:t>
      </w:r>
    </w:p>
    <w:p>
      <w:pPr>
        <w:pStyle w:val="5"/>
        <w:pageBreakBefore w:val="0"/>
        <w:widowControl w:val="0"/>
        <w:kinsoku/>
        <w:wordWrap/>
        <w:overflowPunct/>
        <w:topLinePunct w:val="0"/>
        <w:bidi w:val="0"/>
        <w:snapToGrid/>
        <w:spacing w:line="600" w:lineRule="exact"/>
        <w:jc w:val="center"/>
        <w:textAlignment w:val="auto"/>
        <w:rPr>
          <w:rFonts w:hint="eastAsia" w:ascii="方正小标宋简体" w:hAnsi="方正小标宋简体" w:eastAsia="方正小标宋简体" w:cs="方正小标宋简体"/>
          <w:b w:val="0"/>
          <w:bCs w:val="0"/>
          <w:color w:val="000000" w:themeColor="text1"/>
          <w:sz w:val="36"/>
          <w:szCs w:val="36"/>
          <w:lang w:val="en-US" w:eastAsia="zh-CN"/>
          <w14:textFill>
            <w14:solidFill>
              <w14:schemeClr w14:val="tx1"/>
            </w14:solidFill>
          </w14:textFill>
        </w:rPr>
      </w:pPr>
      <w:bookmarkStart w:id="95" w:name="_Toc31989"/>
      <w:bookmarkStart w:id="96" w:name="_Toc15787"/>
      <w:bookmarkStart w:id="97" w:name="_Toc3543"/>
      <w:bookmarkStart w:id="98" w:name="_Toc865"/>
      <w:bookmarkStart w:id="99" w:name="_Toc71207785"/>
      <w:r>
        <w:rPr>
          <w:rFonts w:hint="eastAsia" w:ascii="方正小标宋简体" w:hAnsi="方正小标宋简体" w:eastAsia="方正小标宋简体" w:cs="方正小标宋简体"/>
          <w:b w:val="0"/>
          <w:bCs w:val="0"/>
          <w:color w:val="000000" w:themeColor="text1"/>
          <w:sz w:val="36"/>
          <w:szCs w:val="36"/>
          <w:lang w:val="en-US" w:eastAsia="zh-CN"/>
          <w14:textFill>
            <w14:solidFill>
              <w14:schemeClr w14:val="tx1"/>
            </w14:solidFill>
          </w14:textFill>
        </w:rPr>
        <w:t>第二节  健全规划实施机制</w:t>
      </w:r>
      <w:bookmarkEnd w:id="95"/>
      <w:bookmarkEnd w:id="96"/>
    </w:p>
    <w:p>
      <w:pPr>
        <w:pStyle w:val="6"/>
        <w:pageBreakBefore w:val="0"/>
        <w:widowControl w:val="0"/>
        <w:kinsoku/>
        <w:wordWrap/>
        <w:overflowPunct/>
        <w:topLinePunct w:val="0"/>
        <w:bidi w:val="0"/>
        <w:snapToGrid/>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一、明确实施责任主体</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明确目标任务工作分工，制定规划实施时间表和路线图，确保规划各项目标任务落地。强化领导责任和实施职责，县林草主管部门要将规划重大任务落实情况和下一年度实施计划列入单位年度重点工作事项，单位主要负责人为第一责任人，班子其他成员按照分工抓好主要指标及重大工程、重大项目、重大政策的落实工作。</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加快林业和草原发展，是建设开放元谋、文化元谋、绿色元谋的重要措施，是强农富农的主要内容，是增加农民收入、促进社会主义新农村建设、建设绿色经济强县的必由之路。县林草主管部门必须提高站位、加强领导、精心组织，做到思想认识到位、组织领导到位、规划部署到位、政策落实到位、资金扶持到位、工作责任到位。紧紧依靠全县广大干部和人民解放思想，实事求是，更新观念，创新思路，调动各方面积极性，精心组织，扎实工作，为实施“十四五”林草重点项目创造条件。建立合理的规划管理体制。规划整个过程包括立项、前期研究、组织编制、论证评审、衔接协调、审定发布、中期评估、调整修订等八大环节，并进行全环节、全程管理。</w:t>
      </w:r>
    </w:p>
    <w:p>
      <w:pPr>
        <w:pStyle w:val="6"/>
        <w:pageBreakBefore w:val="0"/>
        <w:widowControl w:val="0"/>
        <w:kinsoku/>
        <w:wordWrap/>
        <w:overflowPunct/>
        <w:topLinePunct w:val="0"/>
        <w:bidi w:val="0"/>
        <w:snapToGrid/>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二、抓好重点项目落实</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建立健全奖惩考核制度，完善协调制度，确保项目建设进度，完善领导挂钩项目责任体系。要把项目前期工作、实施情况的汇报衔接、工程进度和质量监督等工作落实到人，最大限度地将规划中的项目争取列入国家、省、州的扶持盘子。林业、财政、发改、乡村振兴等部门要密切配合、通力合作，为项目投资工作营造良好的氛围，创造良好的环境，确保规划落到实处。加强林业和草原工程管理人员技术培训，提高对工程项目的管理水平；强化林业工程项目审批制度、招投标制度、检查验收制度，资金使用、监管制度，提高林业和草原工程项目的质量和效益。</w:t>
      </w:r>
    </w:p>
    <w:p>
      <w:pPr>
        <w:pStyle w:val="6"/>
        <w:pageBreakBefore w:val="0"/>
        <w:widowControl w:val="0"/>
        <w:kinsoku/>
        <w:wordWrap/>
        <w:overflowPunct/>
        <w:topLinePunct w:val="0"/>
        <w:bidi w:val="0"/>
        <w:snapToGrid/>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三、营造规划实施良好氛围</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造良好舆论环境，加强规划编制、实施、监测评估、监督考核全过程的舆论宣传，营造良好舆论氛围。激发市场主体活力，加快职能转变，持续推进简政放权、放管结合、优化服务改革，创新服务和监管方式，提高行政效能。推广“互联网＋政务服务”，将规划实施情况作为政务公开重要内容。强化规划法治保障，研究制定专项规划管理办法。以机制创新为动力，以技术创新为途径，大力推进林业新科技革命，实现林业科技理论水平和技术水平的快速提升，为林业生态建设和产业建设提供强有力的科技支撑。坚持科技兴林和人才强林战略，扎实抓好林业行政管理、专业技术、经营管理人才队伍建设。集中优势力量开展林木良种选育、优良乡土树种开发、抗旱节水配套技术、经济林集约经营、林产品精深加工、森林资源综合利用等关键技术攻关和技术推广，加快林业新技术、新成果转化应用速度，提高科技对林业发展的作用。实施科技入户和科技培训工程，加强对林业从业人员的实用技能培训，提高林业经营者的整体素质。加大科技投入，加强科技能力建设，提高林业科技持续创新能力。</w:t>
      </w:r>
    </w:p>
    <w:p>
      <w:pPr>
        <w:pStyle w:val="6"/>
        <w:pageBreakBefore w:val="0"/>
        <w:widowControl w:val="0"/>
        <w:kinsoku/>
        <w:wordWrap/>
        <w:overflowPunct/>
        <w:topLinePunct w:val="0"/>
        <w:bidi w:val="0"/>
        <w:snapToGrid/>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四、强化规划实施监测评估</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加强动态监测分析，创新和改进统计工作，充分利用各类信息和数据资源，提高规划实施监测分析的及时性、全面性和准确性。健全动态调整修订机制，基于规划监测分析及评估结果，确需对规划内容进行调整的，制定调整方案，报规划批准部门同意后调整，并报同级发展改革部门备案。完善中期评估和总结评估机制，规划中期完成中期评估，评估各主要任务完成情况和重大建设工程推进执行情况，对重大工程推进不力的提出推进措施，对预期无法完成的任务和无法实现的目标及时作出调整。规划末期完成总结评估，全面评估规划主要任务和重大建设工程完成情况，总结取得的成功经验和存在的问题，为下一期林草发展规划提供决策依据。</w:t>
      </w:r>
    </w:p>
    <w:p>
      <w:pPr>
        <w:pStyle w:val="6"/>
        <w:pageBreakBefore w:val="0"/>
        <w:widowControl w:val="0"/>
        <w:kinsoku/>
        <w:wordWrap/>
        <w:overflowPunct/>
        <w:topLinePunct w:val="0"/>
        <w:bidi w:val="0"/>
        <w:snapToGrid/>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五、完善监督考核机制</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完善社会监督机制，将规划目标任务完成情况纳入林长制考核。各实施责任主体要及时发布规划实施进展情况，保障社会公众知情权。畅通公众监督渠道，更好发挥各民主党派、工商联和无党派人士对规划实施的民主监督作用。建立工作推进情况通报机制，对重点工作、重大项目、重要指标完成情况进行通报。建立督查督办工作机制，围绕任务清单开展跟踪问效，全力推动各项目标任务圆满完成。建立约谈问责机制，对因工作推进不力造成较大不良影响的，进行严肃约谈问责；对因工作不力造成重大影响的，依规依纪依法按程序严肃追究有关股室和人员的责任。充分发挥考核的指挥棒作用，将各项任务纳入年度综合考核，进行考核奖惩，切实推动党中央决策部署和省委、省政府工作要求落到实处、见到实效。</w:t>
      </w:r>
    </w:p>
    <w:bookmarkEnd w:id="97"/>
    <w:bookmarkEnd w:id="98"/>
    <w:bookmarkEnd w:id="99"/>
    <w:p>
      <w:pPr>
        <w:pStyle w:val="5"/>
        <w:pageBreakBefore w:val="0"/>
        <w:widowControl w:val="0"/>
        <w:kinsoku/>
        <w:wordWrap/>
        <w:overflowPunct/>
        <w:topLinePunct w:val="0"/>
        <w:bidi w:val="0"/>
        <w:snapToGrid/>
        <w:spacing w:line="600" w:lineRule="exact"/>
        <w:jc w:val="center"/>
        <w:textAlignment w:val="auto"/>
        <w:rPr>
          <w:rFonts w:hint="eastAsia" w:ascii="方正小标宋简体" w:hAnsi="方正小标宋简体" w:eastAsia="方正小标宋简体" w:cs="方正小标宋简体"/>
          <w:b w:val="0"/>
          <w:bCs w:val="0"/>
          <w:color w:val="000000" w:themeColor="text1"/>
          <w:sz w:val="36"/>
          <w:szCs w:val="36"/>
          <w:highlight w:val="none"/>
          <w:lang w:val="en-US" w:eastAsia="zh-CN"/>
          <w14:textFill>
            <w14:solidFill>
              <w14:schemeClr w14:val="tx1"/>
            </w14:solidFill>
          </w14:textFill>
        </w:rPr>
      </w:pPr>
      <w:bookmarkStart w:id="100" w:name="_Toc30811"/>
      <w:bookmarkStart w:id="101" w:name="_Toc25123"/>
      <w:r>
        <w:rPr>
          <w:rFonts w:hint="eastAsia" w:ascii="方正小标宋简体" w:hAnsi="方正小标宋简体" w:eastAsia="方正小标宋简体" w:cs="方正小标宋简体"/>
          <w:b w:val="0"/>
          <w:bCs w:val="0"/>
          <w:color w:val="000000" w:themeColor="text1"/>
          <w:sz w:val="36"/>
          <w:szCs w:val="36"/>
          <w:lang w:val="en-US" w:eastAsia="zh-CN"/>
          <w14:textFill>
            <w14:solidFill>
              <w14:schemeClr w14:val="tx1"/>
            </w14:solidFill>
          </w14:textFill>
        </w:rPr>
        <w:t>第三节  加大政策资金支持</w:t>
      </w:r>
      <w:bookmarkEnd w:id="100"/>
      <w:r>
        <w:rPr>
          <w:rFonts w:hint="eastAsia" w:ascii="方正小标宋简体" w:hAnsi="方正小标宋简体" w:eastAsia="方正小标宋简体" w:cs="方正小标宋简体"/>
          <w:b w:val="0"/>
          <w:bCs w:val="0"/>
          <w:color w:val="000000" w:themeColor="text1"/>
          <w:sz w:val="36"/>
          <w:szCs w:val="36"/>
          <w:highlight w:val="none"/>
          <w:lang w:val="en-US" w:eastAsia="zh-CN"/>
          <w14:textFill>
            <w14:solidFill>
              <w14:schemeClr w14:val="tx1"/>
            </w14:solidFill>
          </w14:textFill>
        </w:rPr>
        <w:t>力度</w:t>
      </w:r>
      <w:bookmarkEnd w:id="101"/>
    </w:p>
    <w:p>
      <w:pPr>
        <w:pStyle w:val="6"/>
        <w:pageBreakBefore w:val="0"/>
        <w:widowControl w:val="0"/>
        <w:kinsoku/>
        <w:wordWrap/>
        <w:overflowPunct/>
        <w:topLinePunct w:val="0"/>
        <w:bidi w:val="0"/>
        <w:snapToGrid/>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一、积极争取各级财政投资</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按照国家优化国土空间开发格局的战略部署，着眼全县经济社会可持续发展的大局，坚持“生态立县不动摇，遵循自然修复与保护工程并重的原则，全面推进天然林保护、退耕还林、陡坡地生态治理、生物多样性保护、防护林体系建设、石漠化治理、农村能源建设等重点生态工程建设，深入开展全民植树造林活动，健全完善森林资源管护和林业灾害应急体系。积极争取中央、省级、州级林业工程项目资金的扶持。县财政要随着财政收入的增加，加大对林业的投入。各级政府和有关部门，要围绕林业发展目标，多方争取、筹措发展资金扶持林业发展，形成发展合力。同时要整合现有项目，将各级对“三农”的扶持资金和项目向林业倾斜，加快发展步伐。</w:t>
      </w:r>
    </w:p>
    <w:p>
      <w:pPr>
        <w:pStyle w:val="6"/>
        <w:pageBreakBefore w:val="0"/>
        <w:widowControl w:val="0"/>
        <w:kinsoku/>
        <w:wordWrap/>
        <w:overflowPunct/>
        <w:topLinePunct w:val="0"/>
        <w:bidi w:val="0"/>
        <w:snapToGrid/>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二、积极推进林业投融资改革</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要充分发挥林业既是基础产业，又是公益事业的特殊性，利用市场的融资功能，吸引企业、集体、个体等各方面投资林业建设。金融部门要发挥职能作用，积极开发适合林业特点的信贷产品，按照国家相关政策规定，加大对林业龙头企业的贷款力度和林农的小额信贷力度，并适当放宽贷款条件、简化贷款手续，拓宽投融资渠道。要积极探索林业贷款抵押、贷款担保的有效途径，开展政策性贷款担保业务，建立担保机制，积极开展以林木所有权和林地使用权抵押贷款、无抵押贷款等多种信贷模式。支持保险机构开展森林保险业务，加快建立政策性森林保险制度，引导林农参加投保，降低经营林业的风险，提高抵御自然灾害的能力。</w:t>
      </w:r>
    </w:p>
    <w:p>
      <w:pPr>
        <w:pStyle w:val="6"/>
        <w:pageBreakBefore w:val="0"/>
        <w:widowControl w:val="0"/>
        <w:kinsoku/>
        <w:wordWrap/>
        <w:overflowPunct/>
        <w:topLinePunct w:val="0"/>
        <w:bidi w:val="0"/>
        <w:snapToGrid/>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三、深化林业体制机制改革</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深化集体林权制度及综合配套改革，积极完善产权处置和收益保障机制，进一步激发全社会发展林业的积极性。推进森林分类经营改革，充分保障经营者的经营自主权和林木处置权；严格公益林管护，充分挖掘其森林景观、非木质产品等方面的潜力，大力发展森林生态旅游、非木质等林业产业。深化国有林场改革，管好用活国有森林资源，释放国有林的发展潜力。加快发展非公有制林业，鼓励跨所有制、跨行业、跨地区发展林业。</w:t>
      </w:r>
    </w:p>
    <w:p>
      <w:pPr>
        <w:pStyle w:val="6"/>
        <w:pageBreakBefore w:val="0"/>
        <w:widowControl w:val="0"/>
        <w:kinsoku/>
        <w:wordWrap/>
        <w:overflowPunct/>
        <w:topLinePunct w:val="0"/>
        <w:bidi w:val="0"/>
        <w:snapToGrid/>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四、加强依法治林制度落实</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加强林业法制教育和生态文明教育，创造良好的社会氛围和执法环境。加大林业执法力度，严格森林资源管理，预防和打击破坏森林资源的违法犯罪行为；加强林业执法监管体系，充实执法监督力量，提高执法监督队伍综合素质。</w:t>
      </w:r>
    </w:p>
    <w:p>
      <w:pPr>
        <w:pStyle w:val="6"/>
        <w:pageBreakBefore w:val="0"/>
        <w:widowControl w:val="0"/>
        <w:kinsoku/>
        <w:wordWrap/>
        <w:overflowPunct/>
        <w:topLinePunct w:val="0"/>
        <w:bidi w:val="0"/>
        <w:snapToGrid/>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五、完善森林资源流转和林木采伐管理制度</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方正仿宋_GB2312" w:hAnsi="方正仿宋_GB2312" w:eastAsia="方正仿宋_GB2312" w:cs="方正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依法做好林权流转、资源评估、信息发布、林权变更、林权登记、法律政策咨询等服务工作。规范林权流转程序，鼓励林农通过林权流转服务中心平台，在依法、自愿、有偿的基础上，实现林地使用权和林木所有权的流转。林木的采伐以森林限额采伐制度为基础，积极探索与家庭承包经营林业相适应的林木采伐管理制度，完善林木采伐审批制度，减少采伐管理上的限制条件，把采伐限额指标落实到符合采伐条件的企业和农户，保障林农商品林的林木处置权和收益权。</w:t>
      </w:r>
    </w:p>
    <w:p>
      <w:pPr>
        <w:pStyle w:val="6"/>
        <w:pageBreakBefore w:val="0"/>
        <w:widowControl w:val="0"/>
        <w:kinsoku/>
        <w:wordWrap/>
        <w:overflowPunct/>
        <w:topLinePunct w:val="0"/>
        <w:bidi w:val="0"/>
        <w:snapToGrid/>
        <w:spacing w:line="600" w:lineRule="exact"/>
        <w:ind w:firstLine="643"/>
        <w:textAlignment w:val="auto"/>
        <w:rPr>
          <w:rFonts w:hint="eastAsia" w:ascii="黑体" w:hAnsi="黑体" w:eastAsia="黑体" w:cs="黑体"/>
          <w:b w:val="0"/>
          <w:bCs w:val="0"/>
          <w:color w:val="000000" w:themeColor="text1"/>
          <w:lang w:val="en-US" w:eastAsia="zh-CN"/>
          <w14:textFill>
            <w14:solidFill>
              <w14:schemeClr w14:val="tx1"/>
            </w14:solidFill>
          </w14:textFill>
        </w:rPr>
      </w:pPr>
      <w:r>
        <w:rPr>
          <w:rFonts w:hint="eastAsia" w:ascii="黑体" w:hAnsi="黑体" w:eastAsia="黑体" w:cs="黑体"/>
          <w:b w:val="0"/>
          <w:bCs w:val="0"/>
          <w:color w:val="000000" w:themeColor="text1"/>
          <w:lang w:val="en-US" w:eastAsia="zh-CN"/>
          <w14:textFill>
            <w14:solidFill>
              <w14:schemeClr w14:val="tx1"/>
            </w14:solidFill>
          </w14:textFill>
        </w:rPr>
        <w:t>六、加大招商引资力度</w:t>
      </w:r>
    </w:p>
    <w:p>
      <w:pPr>
        <w:pStyle w:val="8"/>
        <w:keepNext w:val="0"/>
        <w:keepLines w:val="0"/>
        <w:pageBreakBefore w:val="0"/>
        <w:widowControl/>
        <w:numPr>
          <w:ilvl w:val="0"/>
          <w:numId w:val="0"/>
        </w:numPr>
        <w:kinsoku/>
        <w:wordWrap/>
        <w:overflowPunct/>
        <w:topLinePunct w:val="0"/>
        <w:autoSpaceDE/>
        <w:autoSpaceDN/>
        <w:bidi w:val="0"/>
        <w:adjustRightInd/>
        <w:spacing w:line="600" w:lineRule="exact"/>
        <w:ind w:firstLine="640" w:firstLineChars="200"/>
        <w:jc w:val="both"/>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要建立健全招商引资工作机制，加大改革开放和招商引资力度，充分利用省内外两个市场、两种资源，引进人才、资金、技术，加快元谋林业发展。特别要吸引省内外资金雄厚、技术力量强、经营管理水平高的大企业（企业集团）投资造林和发展林业产品精深加工。同时，要做好对招商引资的服务，认真落实国家对林业发展的各项优惠和扶持政策，营造良好投资环境。</w:t>
      </w:r>
    </w:p>
    <w:p>
      <w:pPr>
        <w:pStyle w:val="5"/>
        <w:pageBreakBefore w:val="0"/>
        <w:widowControl w:val="0"/>
        <w:kinsoku/>
        <w:wordWrap/>
        <w:overflowPunct/>
        <w:topLinePunct w:val="0"/>
        <w:bidi w:val="0"/>
        <w:snapToGrid/>
        <w:spacing w:line="600" w:lineRule="exact"/>
        <w:jc w:val="center"/>
        <w:textAlignment w:val="auto"/>
        <w:rPr>
          <w:rFonts w:hint="eastAsia" w:ascii="方正小标宋简体" w:hAnsi="方正小标宋简体" w:eastAsia="方正小标宋简体" w:cs="方正小标宋简体"/>
          <w:b w:val="0"/>
          <w:bCs w:val="0"/>
          <w:color w:val="000000" w:themeColor="text1"/>
          <w:sz w:val="36"/>
          <w:szCs w:val="36"/>
          <w:lang w:val="en-US" w:eastAsia="zh-CN"/>
          <w14:textFill>
            <w14:solidFill>
              <w14:schemeClr w14:val="tx1"/>
            </w14:solidFill>
          </w14:textFill>
        </w:rPr>
      </w:pPr>
      <w:bookmarkStart w:id="102" w:name="_Toc29363"/>
      <w:r>
        <w:rPr>
          <w:rFonts w:hint="eastAsia" w:ascii="方正小标宋简体" w:hAnsi="方正小标宋简体" w:eastAsia="方正小标宋简体" w:cs="方正小标宋简体"/>
          <w:b w:val="0"/>
          <w:bCs w:val="0"/>
          <w:color w:val="000000" w:themeColor="text1"/>
          <w:sz w:val="36"/>
          <w:szCs w:val="36"/>
          <w:lang w:val="en-US" w:eastAsia="zh-CN"/>
          <w14:textFill>
            <w14:solidFill>
              <w14:schemeClr w14:val="tx1"/>
            </w14:solidFill>
          </w14:textFill>
        </w:rPr>
        <w:t>第四节  调动社会各界积极性</w:t>
      </w:r>
      <w:bookmarkEnd w:id="102"/>
    </w:p>
    <w:p>
      <w:pPr>
        <w:pStyle w:val="8"/>
        <w:keepNext w:val="0"/>
        <w:keepLines w:val="0"/>
        <w:pageBreakBefore w:val="0"/>
        <w:widowControl/>
        <w:numPr>
          <w:ilvl w:val="0"/>
          <w:numId w:val="0"/>
        </w:numPr>
        <w:kinsoku/>
        <w:wordWrap/>
        <w:overflowPunct/>
        <w:topLinePunct w:val="0"/>
        <w:autoSpaceDE/>
        <w:autoSpaceDN/>
        <w:bidi w:val="0"/>
        <w:adjustRightInd/>
        <w:snapToGrid w:val="0"/>
        <w:spacing w:line="600" w:lineRule="exact"/>
        <w:ind w:firstLine="640" w:firstLineChars="200"/>
        <w:jc w:val="both"/>
        <w:textAlignment w:val="auto"/>
        <w:rPr>
          <w:rFonts w:hint="eastAsia"/>
          <w:color w:val="000000" w:themeColor="text1"/>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加强与其他部门的沟通衔接，做到通力合作，科学细化建设目标、重点任务，抓好任务落实，确保各项工作有力有序完成。要大力学习宣传习近平生态文明思想，弘扬优良传统，讲好林草故事，传承林草精神。要大力宣传林业草原在国家重大战略中的重要地位，宣传林业草原在生态文明建设和改善生态及人居环境中的主导作用，结合实施林草重大工程，依托植树节、世界湿地日、世界野生动植物日、爱鸟周等开展主体宣传活动，营造浓厚氛围。树立绿水青山转化为金山银山的典范，在广大山区群众中树立“开展生态建设就是走脱贫致富的希望之路”“不砍树，也致富”等绿色发展理念；树立和宣传先进典型，弘扬生态文化，增强林草事业感召力，鼓励和引导社会力量自觉履行保护生态环境的责任和义务，积极参与生态文明和美丽元谋建设。选树先进典型，激励全县各界积极投身林业草原保护发展，形成政府主导、社会参与、多元投入、协力发展新格局，努力实现全社会参与林草事业共建共享。</w:t>
      </w:r>
    </w:p>
    <w:p>
      <w:pPr>
        <w:rPr>
          <w:rFonts w:hint="eastAsia"/>
          <w:color w:val="000000" w:themeColor="text1"/>
          <w14:textFill>
            <w14:solidFill>
              <w14:schemeClr w14:val="tx1"/>
            </w14:solidFill>
          </w14:textFill>
        </w:rPr>
        <w:sectPr>
          <w:footerReference r:id="rId5" w:type="default"/>
          <w:pgSz w:w="11906" w:h="16838"/>
          <w:pgMar w:top="1417" w:right="1587" w:bottom="1440" w:left="1474" w:header="851" w:footer="992" w:gutter="0"/>
          <w:pgBorders>
            <w:top w:val="none" w:sz="0" w:space="0"/>
            <w:left w:val="none" w:sz="0" w:space="0"/>
            <w:bottom w:val="none" w:sz="0" w:space="0"/>
            <w:right w:val="none" w:sz="0" w:space="0"/>
          </w:pgBorders>
          <w:pgNumType w:fmt="numberInDash" w:start="1"/>
          <w:cols w:space="0" w:num="1"/>
          <w:rtlGutter w:val="0"/>
          <w:docGrid w:type="lines" w:linePitch="317" w:charSpace="0"/>
        </w:sectPr>
      </w:pPr>
    </w:p>
    <w:p>
      <w:pPr>
        <w:pStyle w:val="8"/>
        <w:ind w:left="0" w:leftChars="0" w:firstLine="0" w:firstLineChars="0"/>
        <w:rPr>
          <w:rFonts w:hint="eastAsia"/>
          <w:color w:val="000000" w:themeColor="text1"/>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pacing w:line="600" w:lineRule="exact"/>
        <w:textAlignment w:val="auto"/>
        <w:outlineLvl w:val="0"/>
        <w:rPr>
          <w:rFonts w:hint="eastAsia" w:ascii="仿宋_GB2312" w:hAnsi="仿宋_GB2312" w:eastAsia="仿宋_GB2312" w:cs="仿宋_GB2312"/>
          <w:b/>
          <w:bCs/>
          <w:color w:val="000000" w:themeColor="text1"/>
          <w:kern w:val="2"/>
          <w:sz w:val="32"/>
          <w:szCs w:val="32"/>
          <w:lang w:val="en-US" w:eastAsia="zh-CN" w:bidi="ar-SA"/>
          <w14:textFill>
            <w14:solidFill>
              <w14:schemeClr w14:val="tx1"/>
            </w14:solidFill>
          </w14:textFill>
        </w:rPr>
      </w:pPr>
      <w:bookmarkStart w:id="103" w:name="_Toc27213"/>
      <w:bookmarkStart w:id="104" w:name="_Toc22119"/>
      <w:r>
        <w:rPr>
          <w:rFonts w:hint="eastAsia" w:ascii="仿宋_GB2312" w:hAnsi="仿宋_GB2312" w:eastAsia="仿宋_GB2312" w:cs="仿宋_GB2312"/>
          <w:b/>
          <w:bCs/>
          <w:color w:val="000000" w:themeColor="text1"/>
          <w:kern w:val="2"/>
          <w:sz w:val="32"/>
          <w:szCs w:val="32"/>
          <w:lang w:val="en-US" w:eastAsia="zh-CN" w:bidi="ar-SA"/>
          <w14:textFill>
            <w14:solidFill>
              <w14:schemeClr w14:val="tx1"/>
            </w14:solidFill>
          </w14:textFill>
        </w:rPr>
        <w:t>附图：</w:t>
      </w:r>
      <w:bookmarkEnd w:id="103"/>
      <w:bookmarkEnd w:id="104"/>
    </w:p>
    <w:p>
      <w:pPr>
        <w:numPr>
          <w:ilvl w:val="0"/>
          <w:numId w:val="0"/>
        </w:numPr>
        <w:ind w:left="630" w:leftChars="0"/>
        <w:outlineLvl w:val="0"/>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bookmarkStart w:id="105" w:name="_Toc10770"/>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附图1：元谋县行政区划图</w:t>
      </w:r>
      <w:bookmarkEnd w:id="105"/>
    </w:p>
    <w:p>
      <w:pPr>
        <w:pStyle w:val="8"/>
        <w:ind w:left="0"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inline distT="0" distB="0" distL="114300" distR="114300">
            <wp:extent cx="5591175" cy="7788910"/>
            <wp:effectExtent l="0" t="0" r="9525" b="2540"/>
            <wp:docPr id="10" name="图片 10" descr="元谋县行政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元谋县行政区划图"/>
                    <pic:cNvPicPr>
                      <a:picLocks noChangeAspect="1"/>
                    </pic:cNvPicPr>
                  </pic:nvPicPr>
                  <pic:blipFill>
                    <a:blip r:embed="rId19"/>
                    <a:stretch>
                      <a:fillRect/>
                    </a:stretch>
                  </pic:blipFill>
                  <pic:spPr>
                    <a:xfrm>
                      <a:off x="0" y="0"/>
                      <a:ext cx="5591175" cy="7788910"/>
                    </a:xfrm>
                    <a:prstGeom prst="rect">
                      <a:avLst/>
                    </a:prstGeom>
                  </pic:spPr>
                </pic:pic>
              </a:graphicData>
            </a:graphic>
          </wp:inline>
        </w:drawing>
      </w:r>
    </w:p>
    <w:p>
      <w:pPr>
        <w:numPr>
          <w:ilvl w:val="0"/>
          <w:numId w:val="0"/>
        </w:numPr>
        <w:ind w:left="630" w:leftChars="0"/>
        <w:outlineLvl w:val="0"/>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sectPr>
          <w:headerReference r:id="rId6" w:type="default"/>
          <w:footerReference r:id="rId7" w:type="default"/>
          <w:pgSz w:w="11906" w:h="16838"/>
          <w:pgMar w:top="1417" w:right="1587" w:bottom="1440" w:left="1474" w:header="851" w:footer="992" w:gutter="0"/>
          <w:pgBorders>
            <w:top w:val="none" w:sz="0" w:space="0"/>
            <w:left w:val="none" w:sz="0" w:space="0"/>
            <w:bottom w:val="none" w:sz="0" w:space="0"/>
            <w:right w:val="none" w:sz="0" w:space="0"/>
          </w:pgBorders>
          <w:pgNumType w:fmt="numberInDash"/>
          <w:cols w:space="0" w:num="1"/>
          <w:rtlGutter w:val="0"/>
          <w:docGrid w:type="lines" w:linePitch="317" w:charSpace="0"/>
        </w:sectPr>
      </w:pPr>
      <w:bookmarkStart w:id="106" w:name="_Toc13804"/>
    </w:p>
    <w:p>
      <w:pPr>
        <w:numPr>
          <w:ilvl w:val="0"/>
          <w:numId w:val="0"/>
        </w:numPr>
        <w:ind w:left="630" w:leftChars="0"/>
        <w:outlineLvl w:val="0"/>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附图2：元谋县“十四五”林分质量规划图</w:t>
      </w:r>
      <w:bookmarkEnd w:id="106"/>
    </w:p>
    <w:p>
      <w:pPr>
        <w:pStyle w:val="8"/>
        <w:jc w:val="center"/>
        <w:rPr>
          <w:rFonts w:hint="eastAsia"/>
          <w:color w:val="000000" w:themeColor="text1"/>
          <w:lang w:val="en-US" w:eastAsia="zh-CN"/>
          <w14:textFill>
            <w14:solidFill>
              <w14:schemeClr w14:val="tx1"/>
            </w14:solidFill>
          </w14:textFill>
        </w:rPr>
      </w:pPr>
    </w:p>
    <w:p>
      <w:pPr>
        <w:pStyle w:val="8"/>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inline distT="0" distB="0" distL="114300" distR="114300">
            <wp:extent cx="5610860" cy="7766050"/>
            <wp:effectExtent l="0" t="0" r="8890" b="6350"/>
            <wp:docPr id="13" name="图片 13" descr="提升林分质量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提升林分质量规划图"/>
                    <pic:cNvPicPr>
                      <a:picLocks noChangeAspect="1"/>
                    </pic:cNvPicPr>
                  </pic:nvPicPr>
                  <pic:blipFill>
                    <a:blip r:embed="rId20"/>
                    <a:srcRect t="2058"/>
                    <a:stretch>
                      <a:fillRect/>
                    </a:stretch>
                  </pic:blipFill>
                  <pic:spPr>
                    <a:xfrm>
                      <a:off x="0" y="0"/>
                      <a:ext cx="5610860" cy="7766050"/>
                    </a:xfrm>
                    <a:prstGeom prst="rect">
                      <a:avLst/>
                    </a:prstGeom>
                  </pic:spPr>
                </pic:pic>
              </a:graphicData>
            </a:graphic>
          </wp:inline>
        </w:drawing>
      </w:r>
    </w:p>
    <w:p>
      <w:pPr>
        <w:rPr>
          <w:rFonts w:hint="eastAsia"/>
          <w:color w:val="000000" w:themeColor="text1"/>
          <w:lang w:val="en-US" w:eastAsia="zh-CN"/>
          <w14:textFill>
            <w14:solidFill>
              <w14:schemeClr w14:val="tx1"/>
            </w14:solidFill>
          </w14:textFill>
        </w:rPr>
      </w:pPr>
    </w:p>
    <w:p>
      <w:pPr>
        <w:numPr>
          <w:ilvl w:val="0"/>
          <w:numId w:val="0"/>
        </w:numPr>
        <w:tabs>
          <w:tab w:val="left" w:pos="8072"/>
        </w:tabs>
        <w:ind w:left="630" w:leftChars="0"/>
        <w:outlineLvl w:val="0"/>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sectPr>
          <w:footerReference r:id="rId8" w:type="default"/>
          <w:pgSz w:w="11906" w:h="16838"/>
          <w:pgMar w:top="1417" w:right="1587" w:bottom="1440" w:left="1474" w:header="851" w:footer="992" w:gutter="0"/>
          <w:pgBorders>
            <w:top w:val="none" w:sz="0" w:space="0"/>
            <w:left w:val="none" w:sz="0" w:space="0"/>
            <w:bottom w:val="none" w:sz="0" w:space="0"/>
            <w:right w:val="none" w:sz="0" w:space="0"/>
          </w:pgBorders>
          <w:pgNumType w:fmt="numberInDash"/>
          <w:cols w:space="0" w:num="1"/>
          <w:rtlGutter w:val="0"/>
          <w:docGrid w:type="lines" w:linePitch="317" w:charSpace="0"/>
        </w:sectPr>
      </w:pPr>
      <w:bookmarkStart w:id="107" w:name="_Toc13373"/>
    </w:p>
    <w:p>
      <w:pPr>
        <w:numPr>
          <w:ilvl w:val="0"/>
          <w:numId w:val="0"/>
        </w:numPr>
        <w:tabs>
          <w:tab w:val="left" w:pos="8072"/>
        </w:tabs>
        <w:ind w:left="630" w:leftChars="0"/>
        <w:outlineLvl w:val="0"/>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附图3：元谋县“十四五”林草产业规划分布图</w:t>
      </w:r>
      <w:bookmarkEnd w:id="107"/>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drawing>
          <wp:inline distT="0" distB="0" distL="114300" distR="114300">
            <wp:extent cx="5610860" cy="7929245"/>
            <wp:effectExtent l="0" t="0" r="8890" b="14605"/>
            <wp:docPr id="12" name="图片 12" descr="林草产业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林草产业分布图"/>
                    <pic:cNvPicPr>
                      <a:picLocks noChangeAspect="1"/>
                    </pic:cNvPicPr>
                  </pic:nvPicPr>
                  <pic:blipFill>
                    <a:blip r:embed="rId21"/>
                    <a:stretch>
                      <a:fillRect/>
                    </a:stretch>
                  </pic:blipFill>
                  <pic:spPr>
                    <a:xfrm>
                      <a:off x="0" y="0"/>
                      <a:ext cx="5610860" cy="7929245"/>
                    </a:xfrm>
                    <a:prstGeom prst="rect">
                      <a:avLst/>
                    </a:prstGeom>
                  </pic:spPr>
                </pic:pic>
              </a:graphicData>
            </a:graphic>
          </wp:inline>
        </w:drawing>
      </w:r>
    </w:p>
    <w:sectPr>
      <w:footerReference r:id="rId9" w:type="default"/>
      <w:pgSz w:w="11906" w:h="16838"/>
      <w:pgMar w:top="1417" w:right="1587" w:bottom="1440" w:left="1474" w:header="851" w:footer="992" w:gutter="0"/>
      <w:pgBorders>
        <w:top w:val="none" w:sz="0" w:space="0"/>
        <w:left w:val="none" w:sz="0" w:space="0"/>
        <w:bottom w:val="none" w:sz="0" w:space="0"/>
        <w:right w:val="none" w:sz="0" w:space="0"/>
      </w:pgBorders>
      <w:pgNumType w:fmt="numberInDash"/>
      <w:cols w:space="0" w:num="1"/>
      <w:rtlGutter w:val="0"/>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6CBA2CF3-4F52-4A45-9CBF-5C61A2E8E8B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方正楷体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C63B0C22-90D5-4833-BB39-A137CCC5E8EB}"/>
  </w:font>
  <w:font w:name="方正仿宋_GB2312">
    <w:altName w:val="方正仿宋_GBK"/>
    <w:panose1 w:val="02000000000000000000"/>
    <w:charset w:val="86"/>
    <w:family w:val="auto"/>
    <w:pitch w:val="default"/>
    <w:sig w:usb0="00000000" w:usb1="00000000" w:usb2="00000012" w:usb3="00000000" w:csb0="00040001" w:csb1="00000000"/>
    <w:embedRegular r:id="rId3" w:fontKey="{952B439C-1A28-4057-A713-FCA1BAA01444}"/>
  </w:font>
  <w:font w:name="仿宋_GB2312">
    <w:panose1 w:val="02010609030101010101"/>
    <w:charset w:val="86"/>
    <w:family w:val="modern"/>
    <w:pitch w:val="default"/>
    <w:sig w:usb0="00000001" w:usb1="080E0000" w:usb2="00000000" w:usb3="00000000" w:csb0="00040000" w:csb1="00000000"/>
    <w:embedRegular r:id="rId4" w:fontKey="{D1ADD266-AD53-4EFA-8EE9-410C2D9CA4B2}"/>
  </w:font>
  <w:font w:name="方正小标宋简体">
    <w:panose1 w:val="03000509000000000000"/>
    <w:charset w:val="86"/>
    <w:family w:val="auto"/>
    <w:pitch w:val="default"/>
    <w:sig w:usb0="00000001" w:usb1="080E0000" w:usb2="00000000" w:usb3="00000000" w:csb0="00040000" w:csb1="00000000"/>
    <w:embedRegular r:id="rId5" w:fontKey="{38DC5FA6-6901-49ED-9FCE-A818CF3907F6}"/>
  </w:font>
  <w:font w:name="楷体">
    <w:panose1 w:val="02010609060101010101"/>
    <w:charset w:val="86"/>
    <w:family w:val="auto"/>
    <w:pitch w:val="default"/>
    <w:sig w:usb0="800002BF" w:usb1="38CF7CFA" w:usb2="00000016" w:usb3="00000000" w:csb0="00040001" w:csb1="00000000"/>
    <w:embedRegular r:id="rId6" w:fontKey="{4314C490-D19A-4C15-BABE-99D498475310}"/>
  </w:font>
  <w:font w:name="楷体_GB2312">
    <w:panose1 w:val="02010609030101010101"/>
    <w:charset w:val="86"/>
    <w:family w:val="auto"/>
    <w:pitch w:val="default"/>
    <w:sig w:usb0="00000001" w:usb1="080E0000" w:usb2="00000000" w:usb3="00000000" w:csb0="00040000" w:csb1="00000000"/>
    <w:embedRegular r:id="rId7" w:fontKey="{05924E59-6AFE-4007-90B0-A12F16A8F0C7}"/>
  </w:font>
  <w:font w:name="方正仿宋_GBK">
    <w:panose1 w:val="03000509000000000000"/>
    <w:charset w:val="86"/>
    <w:family w:val="script"/>
    <w:pitch w:val="default"/>
    <w:sig w:usb0="00000001" w:usb1="080E0000" w:usb2="00000000" w:usb3="00000000" w:csb0="00040000" w:csb1="00000000"/>
    <w:embedRegular r:id="rId8" w:fontKey="{82FE7DD8-01F7-450E-9DCD-75BEF483D1CC}"/>
  </w:font>
  <w:font w:name="方正楷体简体">
    <w:panose1 w:val="03000509000000000000"/>
    <w:charset w:val="86"/>
    <w:family w:val="auto"/>
    <w:pitch w:val="default"/>
    <w:sig w:usb0="00000001" w:usb1="080E0000" w:usb2="00000000" w:usb3="00000000" w:csb0="00040000" w:csb1="00000000"/>
    <w:embedRegular r:id="rId9" w:fontKey="{8699E9F6-C6AE-4B20-88A6-4A56353121DC}"/>
  </w:font>
  <w:font w:name="Arial">
    <w:panose1 w:val="020B0604020202020204"/>
    <w:charset w:val="00"/>
    <w:family w:val=""/>
    <w:pitch w:val="default"/>
    <w:sig w:usb0="E0002AFF" w:usb1="C0007843" w:usb2="00000009" w:usb3="00000000" w:csb0="400001FF" w:csb1="FFFF0000"/>
  </w:font>
  <w:font w:name="方正宋黑简体">
    <w:altName w:val="宋体"/>
    <w:panose1 w:val="02000000000000000000"/>
    <w:charset w:val="86"/>
    <w:family w:val="auto"/>
    <w:pitch w:val="default"/>
    <w:sig w:usb0="00000000" w:usb1="00000000" w:usb2="00000000" w:usb3="00000000" w:csb0="00000000" w:csb1="00000000"/>
    <w:embedRegular r:id="rId10" w:fontKey="{84C6C1AD-4F7A-4F20-B0A9-D007CE81C8FD}"/>
  </w:font>
  <w:font w:name="方正仿宋简体">
    <w:panose1 w:val="03000509000000000000"/>
    <w:charset w:val="86"/>
    <w:family w:val="auto"/>
    <w:pitch w:val="default"/>
    <w:sig w:usb0="00000001" w:usb1="080E0000" w:usb2="00000000" w:usb3="00000000" w:csb0="00040000" w:csb1="00000000"/>
    <w:embedRegular r:id="rId11" w:fontKey="{BC859078-CEC3-4E94-8599-A5BCB1A8C5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widowControl w:val="0"/>
      <w:pBdr>
        <w:top w:val="none" w:color="auto" w:sz="0" w:space="1"/>
        <w:left w:val="none" w:color="auto" w:sz="0" w:space="4"/>
        <w:bottom w:val="none" w:color="auto" w:sz="0" w:space="1"/>
        <w:right w:val="none" w:color="auto" w:sz="0" w:space="4"/>
        <w:between w:val="none" w:color="auto" w:sz="0" w:space="0"/>
      </w:pBdr>
      <w:snapToGrid w:val="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widowControl w:val="0"/>
      <w:pBdr>
        <w:top w:val="none" w:color="auto" w:sz="0" w:space="1"/>
        <w:left w:val="none" w:color="auto" w:sz="0" w:space="4"/>
        <w:bottom w:val="none" w:color="auto" w:sz="0" w:space="1"/>
        <w:right w:val="none" w:color="auto" w:sz="0" w:space="4"/>
        <w:between w:val="none" w:color="auto" w:sz="0" w:space="0"/>
      </w:pBdr>
      <w:snapToGrid w:val="0"/>
      <w:jc w:val="both"/>
    </w:pPr>
    <w:r>
      <w:rPr>
        <w:sz w:val="18"/>
      </w:rP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1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jc w:val="left"/>
      <w:rPr>
        <w:rFonts w:hint="eastAsia" w:ascii="楷体" w:hAnsi="楷体" w:eastAsia="楷体" w:cs="楷体"/>
        <w:b w:val="0"/>
        <w:bCs w:val="0"/>
        <w:sz w:val="2"/>
        <w:szCs w:val="2"/>
      </w:rPr>
    </w:pPr>
    <w:r>
      <w:rPr>
        <w:rFonts w:hint="eastAsia" w:ascii="楷体" w:hAnsi="楷体" w:eastAsia="楷体" w:cs="楷体"/>
        <w:b w:val="0"/>
        <w:bCs w:val="0"/>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2"/>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jc w:val="left"/>
      <w:rPr>
        <w:rFonts w:hint="eastAsia" w:ascii="楷体" w:hAnsi="楷体" w:eastAsia="楷体" w:cs="楷体"/>
        <w:b w:val="0"/>
        <w:bCs w:val="0"/>
        <w:sz w:val="2"/>
        <w:szCs w:val="2"/>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282575" cy="14732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282575" cy="147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1.6pt;width:22.25pt;mso-position-horizontal:center;mso-position-horizontal-relative:margin;z-index:251663360;mso-width-relative:page;mso-height-relative:page;" filled="f" stroked="f" coordsize="21600,21600" o:gfxdata="UEsDBAoAAAAAAIdO4kAAAAAAAAAAAAAAAAAEAAAAZHJzL1BLAwQUAAAACACHTuJAfiNuONQAAAAD&#10;AQAADwAAAGRycy9kb3ducmV2LnhtbE2PS0/DMBCE70j8B2uRuFE7oaAqxOmBx41HKUWCmxMvSYS9&#10;juJNWv49hgtcVhrNaObbcn3wTsw4xj6QhmyhQCA1wfbUati93J2tQEQ2ZI0LhBq+MMK6Oj4qTWHD&#10;np5x3nIrUgnFwmjomIdCyth06E1chAEpeR9h9IaTHFtpR7NP5d7JXKlL6U1PaaEzA1532HxuJ6/B&#10;vcXxvlb8Pt+0D7x5ktPrbfao9elJpq5AMB74Lww/+AkdqsRUh4lsFE5DeoR/b/KWywsQtYb8PAdZ&#10;lfI/e/UNUEsDBBQAAAAIAIdO4kA8H2f0HAIAABUEAAAOAAAAZHJzL2Uyb0RvYy54bWytU01uEzEU&#10;3iNxB8t7MknatFWUSRVaBSFFtFJArB2PnbFk+xnbyUw4ANyAVTfsOVfOwbMnkyJghdh43rxff9/7&#10;PLttjSZ74YMCW9LRYEiJsBwqZbcl/fB++eqGkhCZrZgGK0p6EIHezl++mDVuKsZQg66EJ9jEhmnj&#10;SlrH6KZFEXgtDAsDcMJiUII3LOKv3xaVZw12N7oYD4dXRQO+ch64CAG9912QznN/KQWPD1IGEYku&#10;Kd4t5tPnc5POYj5j061nrlb8dA32D7cwTFkcem51zyIjO6/+aGUU9xBAxgEHU4CUiouMAdGMhr+h&#10;WdfMiYwFyQnuTFP4f235u/2jJ6rC3V1SYpnBHR2/fT0+/Th+/0LQhwQ1Lkwxb+0wM7avocXk3h/Q&#10;mXC30pv0RUQE40j14UyvaCPh6BzfjCfXE0o4hkaX1xfjTH/xXOx8iG8EGJKMknrcXiaV7Vch4kUw&#10;tU9JsywsldZ5g9qSpqRXF5NhLjhHsEJbLEwQuqsmK7ab9oRrA9UBYXnolBEcXyocvmIhPjKPUkAk&#10;KO/4gIfUgEPgZFFSg//8N3/Kxw1hlJIGpVXS8GnHvKBEv7W4u6TD3vC9sekNuzN3gGod4cNxPJtY&#10;4KPuTenBfETVL9IUDDHLcVZJY2/exU7g+Gq4WCxy0s55ta27AlSeY3Fl146nMR2Vi10EqTLLiaKO&#10;lxNzqL1M/umdJHH/+p+znl/z/C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I2441AAAAAMBAAAP&#10;AAAAAAAAAAEAIAAAACIAAABkcnMvZG93bnJldi54bWxQSwECFAAUAAAACACHTuJAPB9n9BwCAAAV&#10;BAAADgAAAAAAAAABACAAAAAjAQAAZHJzL2Uyb0RvYy54bWxQSwUGAAAAAAYABgBZAQAAsQUAAAAA&#10;">
              <v:fill on="f" focussize="0,0"/>
              <v:stroke on="f" weight="0.5pt"/>
              <v:imagedata o:title=""/>
              <o:lock v:ext="edit" aspectratio="f"/>
              <v:textbox inset="0mm,0mm,0mm,0mm">
                <w:txbxContent>
                  <w:p>
                    <w:pPr>
                      <w:pStyle w:val="2"/>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D79463"/>
    <w:multiLevelType w:val="singleLevel"/>
    <w:tmpl w:val="86D79463"/>
    <w:lvl w:ilvl="0" w:tentative="0">
      <w:start w:val="1"/>
      <w:numFmt w:val="decimal"/>
      <w:lvlText w:val="%1."/>
      <w:lvlJc w:val="left"/>
      <w:pPr>
        <w:tabs>
          <w:tab w:val="left" w:pos="312"/>
        </w:tabs>
      </w:pPr>
      <w:rPr>
        <w:rFonts w:hint="default"/>
        <w:b/>
        <w:bCs/>
      </w:rPr>
    </w:lvl>
  </w:abstractNum>
  <w:abstractNum w:abstractNumId="1">
    <w:nsid w:val="9325BEB0"/>
    <w:multiLevelType w:val="singleLevel"/>
    <w:tmpl w:val="9325BEB0"/>
    <w:lvl w:ilvl="0" w:tentative="0">
      <w:start w:val="1"/>
      <w:numFmt w:val="decimal"/>
      <w:lvlText w:val="%1."/>
      <w:lvlJc w:val="left"/>
      <w:pPr>
        <w:tabs>
          <w:tab w:val="left" w:pos="312"/>
        </w:tabs>
      </w:pPr>
      <w:rPr>
        <w:rFonts w:hint="default"/>
        <w:b/>
        <w:bCs/>
      </w:rPr>
    </w:lvl>
  </w:abstractNum>
  <w:abstractNum w:abstractNumId="2">
    <w:nsid w:val="957F36C6"/>
    <w:multiLevelType w:val="singleLevel"/>
    <w:tmpl w:val="957F36C6"/>
    <w:lvl w:ilvl="0" w:tentative="0">
      <w:start w:val="1"/>
      <w:numFmt w:val="decimal"/>
      <w:lvlText w:val="%1."/>
      <w:lvlJc w:val="left"/>
      <w:pPr>
        <w:tabs>
          <w:tab w:val="left" w:pos="312"/>
        </w:tabs>
      </w:pPr>
      <w:rPr>
        <w:rFonts w:hint="default"/>
        <w:b/>
        <w:bCs/>
      </w:rPr>
    </w:lvl>
  </w:abstractNum>
  <w:abstractNum w:abstractNumId="3">
    <w:nsid w:val="BD912BE4"/>
    <w:multiLevelType w:val="singleLevel"/>
    <w:tmpl w:val="BD912BE4"/>
    <w:lvl w:ilvl="0" w:tentative="0">
      <w:start w:val="3"/>
      <w:numFmt w:val="chineseCounting"/>
      <w:suff w:val="nothing"/>
      <w:lvlText w:val="%1、"/>
      <w:lvlJc w:val="left"/>
      <w:rPr>
        <w:rFonts w:hint="eastAsia"/>
      </w:rPr>
    </w:lvl>
  </w:abstractNum>
  <w:abstractNum w:abstractNumId="4">
    <w:nsid w:val="00D3F4C4"/>
    <w:multiLevelType w:val="singleLevel"/>
    <w:tmpl w:val="00D3F4C4"/>
    <w:lvl w:ilvl="0" w:tentative="0">
      <w:start w:val="1"/>
      <w:numFmt w:val="decimal"/>
      <w:lvlText w:val="%1."/>
      <w:lvlJc w:val="left"/>
      <w:pPr>
        <w:tabs>
          <w:tab w:val="left" w:pos="312"/>
        </w:tabs>
      </w:pPr>
    </w:lvl>
  </w:abstractNum>
  <w:abstractNum w:abstractNumId="5">
    <w:nsid w:val="10A69736"/>
    <w:multiLevelType w:val="singleLevel"/>
    <w:tmpl w:val="10A69736"/>
    <w:lvl w:ilvl="0" w:tentative="0">
      <w:start w:val="2"/>
      <w:numFmt w:val="chineseCounting"/>
      <w:suff w:val="nothing"/>
      <w:lvlText w:val="%1、"/>
      <w:lvlJc w:val="left"/>
      <w:rPr>
        <w:rFonts w:hint="eastAsia"/>
      </w:rPr>
    </w:lvl>
  </w:abstractNum>
  <w:abstractNum w:abstractNumId="6">
    <w:nsid w:val="1D862FA8"/>
    <w:multiLevelType w:val="singleLevel"/>
    <w:tmpl w:val="1D862FA8"/>
    <w:lvl w:ilvl="0" w:tentative="0">
      <w:start w:val="1"/>
      <w:numFmt w:val="decimal"/>
      <w:lvlText w:val="%1."/>
      <w:lvlJc w:val="left"/>
      <w:pPr>
        <w:tabs>
          <w:tab w:val="left" w:pos="312"/>
        </w:tabs>
      </w:pPr>
      <w:rPr>
        <w:rFonts w:hint="default"/>
        <w:b/>
        <w:bCs/>
      </w:rPr>
    </w:lvl>
  </w:abstractNum>
  <w:abstractNum w:abstractNumId="7">
    <w:nsid w:val="2C31262C"/>
    <w:multiLevelType w:val="singleLevel"/>
    <w:tmpl w:val="2C31262C"/>
    <w:lvl w:ilvl="0" w:tentative="0">
      <w:start w:val="1"/>
      <w:numFmt w:val="decimal"/>
      <w:lvlText w:val="%1."/>
      <w:lvlJc w:val="left"/>
      <w:pPr>
        <w:tabs>
          <w:tab w:val="left" w:pos="312"/>
        </w:tabs>
      </w:pPr>
    </w:lvl>
  </w:abstractNum>
  <w:abstractNum w:abstractNumId="8">
    <w:nsid w:val="46770A45"/>
    <w:multiLevelType w:val="singleLevel"/>
    <w:tmpl w:val="46770A45"/>
    <w:lvl w:ilvl="0" w:tentative="0">
      <w:start w:val="1"/>
      <w:numFmt w:val="decimal"/>
      <w:lvlText w:val="%1."/>
      <w:lvlJc w:val="left"/>
      <w:pPr>
        <w:tabs>
          <w:tab w:val="left" w:pos="312"/>
        </w:tabs>
      </w:pPr>
      <w:rPr>
        <w:rFonts w:hint="default"/>
        <w:b/>
        <w:bCs/>
      </w:rPr>
    </w:lvl>
  </w:abstractNum>
  <w:abstractNum w:abstractNumId="9">
    <w:nsid w:val="49370B16"/>
    <w:multiLevelType w:val="singleLevel"/>
    <w:tmpl w:val="49370B16"/>
    <w:lvl w:ilvl="0" w:tentative="0">
      <w:start w:val="7"/>
      <w:numFmt w:val="chineseCounting"/>
      <w:suff w:val="space"/>
      <w:lvlText w:val="第%1章"/>
      <w:lvlJc w:val="left"/>
      <w:rPr>
        <w:rFonts w:hint="eastAsia"/>
      </w:rPr>
    </w:lvl>
  </w:abstractNum>
  <w:abstractNum w:abstractNumId="10">
    <w:nsid w:val="7B976643"/>
    <w:multiLevelType w:val="singleLevel"/>
    <w:tmpl w:val="7B976643"/>
    <w:lvl w:ilvl="0" w:tentative="0">
      <w:start w:val="1"/>
      <w:numFmt w:val="decimal"/>
      <w:lvlText w:val="%1."/>
      <w:lvlJc w:val="left"/>
      <w:pPr>
        <w:tabs>
          <w:tab w:val="left" w:pos="312"/>
        </w:tabs>
      </w:pPr>
    </w:lvl>
  </w:abstractNum>
  <w:num w:numId="1">
    <w:abstractNumId w:val="5"/>
  </w:num>
  <w:num w:numId="2">
    <w:abstractNumId w:val="3"/>
  </w:num>
  <w:num w:numId="3">
    <w:abstractNumId w:val="2"/>
  </w:num>
  <w:num w:numId="4">
    <w:abstractNumId w:val="1"/>
  </w:num>
  <w:num w:numId="5">
    <w:abstractNumId w:val="10"/>
  </w:num>
  <w:num w:numId="6">
    <w:abstractNumId w:val="7"/>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3F6908"/>
    <w:rsid w:val="004208CE"/>
    <w:rsid w:val="005A2D8C"/>
    <w:rsid w:val="006C0556"/>
    <w:rsid w:val="01AF2D6D"/>
    <w:rsid w:val="023C4D0E"/>
    <w:rsid w:val="02D7529F"/>
    <w:rsid w:val="03376FDF"/>
    <w:rsid w:val="0363088B"/>
    <w:rsid w:val="039B766E"/>
    <w:rsid w:val="03BE53AD"/>
    <w:rsid w:val="047F7F6B"/>
    <w:rsid w:val="048E76AD"/>
    <w:rsid w:val="052269EC"/>
    <w:rsid w:val="05B22F8B"/>
    <w:rsid w:val="05EA28DA"/>
    <w:rsid w:val="05EE40F2"/>
    <w:rsid w:val="063C1739"/>
    <w:rsid w:val="07900427"/>
    <w:rsid w:val="07CE4482"/>
    <w:rsid w:val="07FE685E"/>
    <w:rsid w:val="0806475A"/>
    <w:rsid w:val="08574E1D"/>
    <w:rsid w:val="08857730"/>
    <w:rsid w:val="088D1717"/>
    <w:rsid w:val="08B66C9B"/>
    <w:rsid w:val="09401938"/>
    <w:rsid w:val="09BC4AA8"/>
    <w:rsid w:val="09BE3402"/>
    <w:rsid w:val="0A16608B"/>
    <w:rsid w:val="0A762DA1"/>
    <w:rsid w:val="0AFB6224"/>
    <w:rsid w:val="0B2D30E2"/>
    <w:rsid w:val="0BA61D1F"/>
    <w:rsid w:val="0BAC4D3C"/>
    <w:rsid w:val="0CED7D90"/>
    <w:rsid w:val="0D5F5014"/>
    <w:rsid w:val="0DB42609"/>
    <w:rsid w:val="0EDA352E"/>
    <w:rsid w:val="0EED715E"/>
    <w:rsid w:val="0F021835"/>
    <w:rsid w:val="0F0E1B83"/>
    <w:rsid w:val="0F573A82"/>
    <w:rsid w:val="0FF22512"/>
    <w:rsid w:val="0FF45950"/>
    <w:rsid w:val="10BB5F48"/>
    <w:rsid w:val="110551AC"/>
    <w:rsid w:val="129637BF"/>
    <w:rsid w:val="12CE46A1"/>
    <w:rsid w:val="135D5B02"/>
    <w:rsid w:val="14E55D7C"/>
    <w:rsid w:val="14F94ED0"/>
    <w:rsid w:val="153F6908"/>
    <w:rsid w:val="15666EFC"/>
    <w:rsid w:val="15C65C09"/>
    <w:rsid w:val="15E14B1E"/>
    <w:rsid w:val="16045AAD"/>
    <w:rsid w:val="160F66ED"/>
    <w:rsid w:val="167D6662"/>
    <w:rsid w:val="181C6EBE"/>
    <w:rsid w:val="184B4C89"/>
    <w:rsid w:val="18CC67CE"/>
    <w:rsid w:val="196E54E3"/>
    <w:rsid w:val="19BE320E"/>
    <w:rsid w:val="19C75B79"/>
    <w:rsid w:val="19EE3B26"/>
    <w:rsid w:val="1B1D775F"/>
    <w:rsid w:val="1C1905D4"/>
    <w:rsid w:val="1C5C6538"/>
    <w:rsid w:val="1C6A1EB9"/>
    <w:rsid w:val="1CAD301B"/>
    <w:rsid w:val="1D432865"/>
    <w:rsid w:val="1E001EB1"/>
    <w:rsid w:val="1E535799"/>
    <w:rsid w:val="1EE35EE0"/>
    <w:rsid w:val="1F22230E"/>
    <w:rsid w:val="1F601CF9"/>
    <w:rsid w:val="1F8379E5"/>
    <w:rsid w:val="200D528F"/>
    <w:rsid w:val="20797193"/>
    <w:rsid w:val="20C86749"/>
    <w:rsid w:val="217714C9"/>
    <w:rsid w:val="22340788"/>
    <w:rsid w:val="22D30E7C"/>
    <w:rsid w:val="22F73002"/>
    <w:rsid w:val="23773B0E"/>
    <w:rsid w:val="23850DF3"/>
    <w:rsid w:val="239E3673"/>
    <w:rsid w:val="240A63AD"/>
    <w:rsid w:val="240F7206"/>
    <w:rsid w:val="24430262"/>
    <w:rsid w:val="246620CB"/>
    <w:rsid w:val="24723D91"/>
    <w:rsid w:val="24815A8D"/>
    <w:rsid w:val="24E92CDE"/>
    <w:rsid w:val="25A52134"/>
    <w:rsid w:val="25A95038"/>
    <w:rsid w:val="25AD66BE"/>
    <w:rsid w:val="25C02022"/>
    <w:rsid w:val="25F36EDC"/>
    <w:rsid w:val="264A07CA"/>
    <w:rsid w:val="268E45FE"/>
    <w:rsid w:val="26ED5F31"/>
    <w:rsid w:val="271E4A88"/>
    <w:rsid w:val="277E676B"/>
    <w:rsid w:val="28D2269F"/>
    <w:rsid w:val="290B01B9"/>
    <w:rsid w:val="29B75E1B"/>
    <w:rsid w:val="2A397F6B"/>
    <w:rsid w:val="2A426F8B"/>
    <w:rsid w:val="2B1D2DD1"/>
    <w:rsid w:val="2B5F2552"/>
    <w:rsid w:val="2BA763AC"/>
    <w:rsid w:val="2C796032"/>
    <w:rsid w:val="2C9807AC"/>
    <w:rsid w:val="2DAE20D0"/>
    <w:rsid w:val="2E1E17FA"/>
    <w:rsid w:val="2F8E6368"/>
    <w:rsid w:val="2F953C57"/>
    <w:rsid w:val="2FA60AF5"/>
    <w:rsid w:val="2FB92BE4"/>
    <w:rsid w:val="30244234"/>
    <w:rsid w:val="3177598D"/>
    <w:rsid w:val="31A2540D"/>
    <w:rsid w:val="339B5428"/>
    <w:rsid w:val="3483410C"/>
    <w:rsid w:val="34A16C24"/>
    <w:rsid w:val="34C27DA9"/>
    <w:rsid w:val="34C41685"/>
    <w:rsid w:val="34E44743"/>
    <w:rsid w:val="34F9614E"/>
    <w:rsid w:val="35041597"/>
    <w:rsid w:val="35554D46"/>
    <w:rsid w:val="365302A0"/>
    <w:rsid w:val="36621B05"/>
    <w:rsid w:val="36A751F0"/>
    <w:rsid w:val="379C3E25"/>
    <w:rsid w:val="38A10110"/>
    <w:rsid w:val="3927618F"/>
    <w:rsid w:val="392E3160"/>
    <w:rsid w:val="3944721C"/>
    <w:rsid w:val="39462221"/>
    <w:rsid w:val="3AA456B9"/>
    <w:rsid w:val="3AFE2EFE"/>
    <w:rsid w:val="3B0042E8"/>
    <w:rsid w:val="3B543DC7"/>
    <w:rsid w:val="3B696DED"/>
    <w:rsid w:val="3B897004"/>
    <w:rsid w:val="3C2E79FD"/>
    <w:rsid w:val="3CEB6BC7"/>
    <w:rsid w:val="3D686779"/>
    <w:rsid w:val="3D6E5E7B"/>
    <w:rsid w:val="3E3449AB"/>
    <w:rsid w:val="3EBD0A51"/>
    <w:rsid w:val="3F77403D"/>
    <w:rsid w:val="3FCFED5F"/>
    <w:rsid w:val="42AA25EA"/>
    <w:rsid w:val="430675C4"/>
    <w:rsid w:val="4373132E"/>
    <w:rsid w:val="438305D0"/>
    <w:rsid w:val="43904784"/>
    <w:rsid w:val="43BD4C66"/>
    <w:rsid w:val="43FD34F7"/>
    <w:rsid w:val="44520D08"/>
    <w:rsid w:val="44797D4D"/>
    <w:rsid w:val="44EA3A0F"/>
    <w:rsid w:val="452A22AB"/>
    <w:rsid w:val="45311A10"/>
    <w:rsid w:val="454803B6"/>
    <w:rsid w:val="457D63B4"/>
    <w:rsid w:val="45C32ACE"/>
    <w:rsid w:val="46050733"/>
    <w:rsid w:val="46076EA3"/>
    <w:rsid w:val="46455094"/>
    <w:rsid w:val="464E05D1"/>
    <w:rsid w:val="466254AF"/>
    <w:rsid w:val="46984547"/>
    <w:rsid w:val="47567B6A"/>
    <w:rsid w:val="479815F6"/>
    <w:rsid w:val="481A3A18"/>
    <w:rsid w:val="481C5FBE"/>
    <w:rsid w:val="49261611"/>
    <w:rsid w:val="4AE29A74"/>
    <w:rsid w:val="4B525616"/>
    <w:rsid w:val="4B7E218F"/>
    <w:rsid w:val="4BC33921"/>
    <w:rsid w:val="4C7232A7"/>
    <w:rsid w:val="4CF972A7"/>
    <w:rsid w:val="4D2D05DD"/>
    <w:rsid w:val="4D3C2789"/>
    <w:rsid w:val="4F25191C"/>
    <w:rsid w:val="4F475988"/>
    <w:rsid w:val="4F7E00D9"/>
    <w:rsid w:val="4FAB1741"/>
    <w:rsid w:val="51556790"/>
    <w:rsid w:val="516F6DE3"/>
    <w:rsid w:val="526D6710"/>
    <w:rsid w:val="52CF64E1"/>
    <w:rsid w:val="53193A35"/>
    <w:rsid w:val="545C5AFA"/>
    <w:rsid w:val="549C15A4"/>
    <w:rsid w:val="55086CE2"/>
    <w:rsid w:val="55EA2355"/>
    <w:rsid w:val="55ED088D"/>
    <w:rsid w:val="56176FD1"/>
    <w:rsid w:val="56457018"/>
    <w:rsid w:val="565D3A2B"/>
    <w:rsid w:val="56633760"/>
    <w:rsid w:val="56857A1A"/>
    <w:rsid w:val="56DB61F2"/>
    <w:rsid w:val="581A2B84"/>
    <w:rsid w:val="59C92552"/>
    <w:rsid w:val="5A16661F"/>
    <w:rsid w:val="5ACD23CA"/>
    <w:rsid w:val="5B66201B"/>
    <w:rsid w:val="5BD76942"/>
    <w:rsid w:val="5C0A301E"/>
    <w:rsid w:val="5D391524"/>
    <w:rsid w:val="5D487D91"/>
    <w:rsid w:val="5D9A34EA"/>
    <w:rsid w:val="5DFD3244"/>
    <w:rsid w:val="5E4F5102"/>
    <w:rsid w:val="5F7BE784"/>
    <w:rsid w:val="5FA74A94"/>
    <w:rsid w:val="60697731"/>
    <w:rsid w:val="612B4811"/>
    <w:rsid w:val="615B6F28"/>
    <w:rsid w:val="625D3F2A"/>
    <w:rsid w:val="62F3358B"/>
    <w:rsid w:val="634E0A8F"/>
    <w:rsid w:val="641D4790"/>
    <w:rsid w:val="64A977CF"/>
    <w:rsid w:val="656F5009"/>
    <w:rsid w:val="65D56A02"/>
    <w:rsid w:val="67321E3E"/>
    <w:rsid w:val="6732788B"/>
    <w:rsid w:val="67CE615C"/>
    <w:rsid w:val="68EF7A67"/>
    <w:rsid w:val="698D2BF5"/>
    <w:rsid w:val="6A031651"/>
    <w:rsid w:val="6A207060"/>
    <w:rsid w:val="6A3B5452"/>
    <w:rsid w:val="6A4F1FFA"/>
    <w:rsid w:val="6A5C424F"/>
    <w:rsid w:val="6B5609FD"/>
    <w:rsid w:val="6C3352F1"/>
    <w:rsid w:val="6C570F00"/>
    <w:rsid w:val="6C9C677E"/>
    <w:rsid w:val="6D607D01"/>
    <w:rsid w:val="6DA36E20"/>
    <w:rsid w:val="6DD82C95"/>
    <w:rsid w:val="6E5C3F19"/>
    <w:rsid w:val="6F37D39C"/>
    <w:rsid w:val="6F646B9D"/>
    <w:rsid w:val="6F7513F0"/>
    <w:rsid w:val="703C1C56"/>
    <w:rsid w:val="71302E42"/>
    <w:rsid w:val="720D36B9"/>
    <w:rsid w:val="722C3597"/>
    <w:rsid w:val="72635988"/>
    <w:rsid w:val="729E37AD"/>
    <w:rsid w:val="72A226E0"/>
    <w:rsid w:val="72A96F76"/>
    <w:rsid w:val="7388529D"/>
    <w:rsid w:val="73AA5FF5"/>
    <w:rsid w:val="73DFE6D3"/>
    <w:rsid w:val="75421276"/>
    <w:rsid w:val="7560602B"/>
    <w:rsid w:val="75C43984"/>
    <w:rsid w:val="75DC9015"/>
    <w:rsid w:val="7637283C"/>
    <w:rsid w:val="765E3979"/>
    <w:rsid w:val="77435EA1"/>
    <w:rsid w:val="77636C55"/>
    <w:rsid w:val="77DFC1CA"/>
    <w:rsid w:val="77FE460F"/>
    <w:rsid w:val="77FF2202"/>
    <w:rsid w:val="7971035E"/>
    <w:rsid w:val="79A65922"/>
    <w:rsid w:val="79C446FA"/>
    <w:rsid w:val="79E05E5C"/>
    <w:rsid w:val="79FD0742"/>
    <w:rsid w:val="7A3F501C"/>
    <w:rsid w:val="7A6B08D8"/>
    <w:rsid w:val="7A74F2A7"/>
    <w:rsid w:val="7A872B9F"/>
    <w:rsid w:val="7AF137F9"/>
    <w:rsid w:val="7AFE532C"/>
    <w:rsid w:val="7B2310D4"/>
    <w:rsid w:val="7B3F5178"/>
    <w:rsid w:val="7B54777A"/>
    <w:rsid w:val="7B6F2DEB"/>
    <w:rsid w:val="7B7E5245"/>
    <w:rsid w:val="7BFE2D0E"/>
    <w:rsid w:val="7CB208C8"/>
    <w:rsid w:val="7CE12101"/>
    <w:rsid w:val="7D432A8B"/>
    <w:rsid w:val="7D9261A0"/>
    <w:rsid w:val="7D943BAA"/>
    <w:rsid w:val="7DA81B2A"/>
    <w:rsid w:val="7DEF9E9D"/>
    <w:rsid w:val="7E1067D0"/>
    <w:rsid w:val="7E746663"/>
    <w:rsid w:val="7E7753E0"/>
    <w:rsid w:val="7EE26642"/>
    <w:rsid w:val="7EE33DC8"/>
    <w:rsid w:val="7EFF5ADD"/>
    <w:rsid w:val="7EFF8D58"/>
    <w:rsid w:val="7EFFE107"/>
    <w:rsid w:val="7F1D05C2"/>
    <w:rsid w:val="7F2448D8"/>
    <w:rsid w:val="7F30001F"/>
    <w:rsid w:val="7F796D59"/>
    <w:rsid w:val="7FB91ACC"/>
    <w:rsid w:val="7FBFD636"/>
    <w:rsid w:val="7FC8778C"/>
    <w:rsid w:val="7FF803EA"/>
    <w:rsid w:val="7FFB8C30"/>
    <w:rsid w:val="9736D866"/>
    <w:rsid w:val="A5F81925"/>
    <w:rsid w:val="AFEF7853"/>
    <w:rsid w:val="B1E52F83"/>
    <w:rsid w:val="BD7BF123"/>
    <w:rsid w:val="BDD1598A"/>
    <w:rsid w:val="BDFF6776"/>
    <w:rsid w:val="BFDE4764"/>
    <w:rsid w:val="BFDFCFE3"/>
    <w:rsid w:val="C79372FD"/>
    <w:rsid w:val="CFBB64C1"/>
    <w:rsid w:val="DE7F3994"/>
    <w:rsid w:val="DEFF1CCD"/>
    <w:rsid w:val="E7DF8594"/>
    <w:rsid w:val="EDFF42B8"/>
    <w:rsid w:val="EFBEF426"/>
    <w:rsid w:val="EFDBC130"/>
    <w:rsid w:val="F9BB8851"/>
    <w:rsid w:val="FBC7297E"/>
    <w:rsid w:val="FC8FA1D8"/>
    <w:rsid w:val="FD6D69EB"/>
    <w:rsid w:val="FE680960"/>
    <w:rsid w:val="FED62CC1"/>
    <w:rsid w:val="FF5B3F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3,4,5"/>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jc w:val="left"/>
      <w:outlineLvl w:val="0"/>
    </w:pPr>
    <w:rPr>
      <w:rFonts w:hint="eastAsia" w:ascii="微软雅黑" w:hAnsi="微软雅黑" w:eastAsia="微软雅黑" w:cs="微软雅黑"/>
      <w:kern w:val="44"/>
      <w:sz w:val="24"/>
    </w:rPr>
  </w:style>
  <w:style w:type="paragraph" w:styleId="5">
    <w:name w:val="heading 2"/>
    <w:basedOn w:val="1"/>
    <w:next w:val="1"/>
    <w:qFormat/>
    <w:uiPriority w:val="0"/>
    <w:pPr>
      <w:keepNext/>
      <w:keepLines/>
      <w:spacing w:before="260" w:after="260" w:line="416" w:lineRule="auto"/>
      <w:outlineLvl w:val="1"/>
    </w:pPr>
    <w:rPr>
      <w:rFonts w:ascii="Arial" w:hAnsi="Arial" w:eastAsia="黑体"/>
      <w:b/>
      <w:bCs/>
      <w:kern w:val="0"/>
      <w:sz w:val="32"/>
      <w:szCs w:val="32"/>
    </w:rPr>
  </w:style>
  <w:style w:type="paragraph" w:styleId="6">
    <w:name w:val="heading 3"/>
    <w:basedOn w:val="1"/>
    <w:next w:val="1"/>
    <w:qFormat/>
    <w:uiPriority w:val="9"/>
    <w:pPr>
      <w:keepNext/>
      <w:keepLines/>
      <w:spacing w:line="620" w:lineRule="exact"/>
      <w:ind w:firstLine="200" w:firstLineChars="200"/>
      <w:outlineLvl w:val="2"/>
    </w:pPr>
    <w:rPr>
      <w:rFonts w:eastAsia="方正楷体_GBK"/>
      <w:b/>
      <w:bCs/>
      <w:sz w:val="32"/>
      <w:szCs w:val="32"/>
    </w:rPr>
  </w:style>
  <w:style w:type="paragraph" w:styleId="7">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6">
    <w:name w:val="Default Paragraph Font"/>
    <w:semiHidden/>
    <w:qFormat/>
    <w:uiPriority w:val="0"/>
  </w:style>
  <w:style w:type="table" w:default="1" w:styleId="14">
    <w:name w:val="Normal Table"/>
    <w:semiHidden/>
    <w:qFormat/>
    <w:uiPriority w:val="0"/>
    <w:tblPr>
      <w:tblLayout w:type="fixed"/>
      <w:tblCellMar>
        <w:top w:w="0" w:type="dxa"/>
        <w:left w:w="108" w:type="dxa"/>
        <w:bottom w:w="0" w:type="dxa"/>
        <w:right w:w="108" w:type="dxa"/>
      </w:tblCellMar>
    </w:tblPr>
  </w:style>
  <w:style w:type="paragraph" w:styleId="2">
    <w:name w:val="header"/>
    <w:basedOn w:val="1"/>
    <w:next w:val="3"/>
    <w:qFormat/>
    <w:uiPriority w:val="0"/>
    <w:pPr>
      <w:pBdr>
        <w:bottom w:val="single" w:color="auto" w:sz="6" w:space="1"/>
      </w:pBdr>
      <w:tabs>
        <w:tab w:val="center" w:pos="4153"/>
        <w:tab w:val="right" w:pos="8306"/>
      </w:tabs>
      <w:snapToGrid w:val="0"/>
      <w:jc w:val="center"/>
    </w:pPr>
    <w:rPr>
      <w:sz w:val="18"/>
      <w:szCs w:val="18"/>
    </w:rPr>
  </w:style>
  <w:style w:type="paragraph" w:customStyle="1" w:styleId="3">
    <w:name w:val="文章正文"/>
    <w:basedOn w:val="1"/>
    <w:qFormat/>
    <w:uiPriority w:val="0"/>
    <w:pPr>
      <w:tabs>
        <w:tab w:val="left" w:pos="1800"/>
        <w:tab w:val="left" w:pos="2160"/>
      </w:tabs>
      <w:spacing w:line="360" w:lineRule="auto"/>
      <w:ind w:firstLine="536" w:firstLineChars="200"/>
      <w:jc w:val="left"/>
    </w:pPr>
    <w:rPr>
      <w:rFonts w:ascii="仿宋" w:hAnsi="仿宋" w:eastAsia="仿宋"/>
      <w:color w:val="333333"/>
      <w:spacing w:val="-6"/>
      <w:kern w:val="0"/>
      <w:sz w:val="28"/>
      <w:szCs w:val="28"/>
      <w:lang w:val="zh-CN"/>
    </w:rPr>
  </w:style>
  <w:style w:type="paragraph" w:styleId="8">
    <w:name w:val="Normal Indent"/>
    <w:basedOn w:val="1"/>
    <w:next w:val="1"/>
    <w:qFormat/>
    <w:uiPriority w:val="0"/>
    <w:pPr>
      <w:snapToGrid w:val="0"/>
      <w:spacing w:line="300" w:lineRule="auto"/>
      <w:ind w:firstLine="556"/>
    </w:pPr>
    <w:rPr>
      <w:rFonts w:ascii="方正仿宋_GB2312" w:hAnsi="Times New Roman" w:eastAsia="方正仿宋_GB2312"/>
      <w:szCs w:val="20"/>
    </w:rPr>
  </w:style>
  <w:style w:type="paragraph" w:styleId="9">
    <w:name w:val="annotation text"/>
    <w:basedOn w:val="1"/>
    <w:qFormat/>
    <w:uiPriority w:val="0"/>
    <w:pPr>
      <w:jc w:val="left"/>
    </w:pPr>
  </w:style>
  <w:style w:type="paragraph" w:styleId="10">
    <w:name w:val="footer"/>
    <w:basedOn w:val="1"/>
    <w:qFormat/>
    <w:uiPriority w:val="0"/>
    <w:pPr>
      <w:tabs>
        <w:tab w:val="center" w:pos="4153"/>
        <w:tab w:val="right" w:pos="8306"/>
      </w:tabs>
      <w:snapToGrid w:val="0"/>
    </w:pPr>
    <w:rPr>
      <w:sz w:val="18"/>
      <w:szCs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7">
    <w:name w:val="Strong"/>
    <w:basedOn w:val="16"/>
    <w:qFormat/>
    <w:uiPriority w:val="0"/>
    <w:rPr>
      <w:b/>
    </w:rPr>
  </w:style>
  <w:style w:type="character" w:styleId="18">
    <w:name w:val="page number"/>
    <w:basedOn w:val="16"/>
    <w:qFormat/>
    <w:uiPriority w:val="0"/>
  </w:style>
  <w:style w:type="character" w:styleId="19">
    <w:name w:val="Hyperlink"/>
    <w:qFormat/>
    <w:uiPriority w:val="99"/>
    <w:rPr>
      <w:color w:val="338DE6"/>
      <w:u w:val="none"/>
    </w:rPr>
  </w:style>
  <w:style w:type="paragraph" w:customStyle="1" w:styleId="20">
    <w:name w:val="实施方案正文"/>
    <w:basedOn w:val="1"/>
    <w:qFormat/>
    <w:uiPriority w:val="0"/>
    <w:pPr>
      <w:ind w:firstLine="566" w:firstLineChars="202"/>
    </w:pPr>
    <w:rPr>
      <w:szCs w:val="28"/>
    </w:rPr>
  </w:style>
  <w:style w:type="character" w:customStyle="1" w:styleId="21">
    <w:name w:val="正文文本 (2)_"/>
    <w:link w:val="22"/>
    <w:qFormat/>
    <w:locked/>
    <w:uiPriority w:val="0"/>
    <w:rPr>
      <w:rFonts w:ascii="Calibri" w:hAnsi="Calibri"/>
      <w:kern w:val="0"/>
      <w:sz w:val="32"/>
      <w:szCs w:val="32"/>
      <w:shd w:val="clear" w:color="auto" w:fill="FFFFFF"/>
    </w:rPr>
  </w:style>
  <w:style w:type="paragraph" w:customStyle="1" w:styleId="22">
    <w:name w:val="正文文本 (2)1"/>
    <w:basedOn w:val="1"/>
    <w:link w:val="21"/>
    <w:qFormat/>
    <w:uiPriority w:val="0"/>
    <w:pPr>
      <w:shd w:val="clear" w:color="auto" w:fill="FFFFFF"/>
      <w:spacing w:before="720" w:after="960" w:line="600" w:lineRule="exact"/>
    </w:pPr>
    <w:rPr>
      <w:rFonts w:ascii="Calibri" w:hAnsi="Calibri"/>
      <w:kern w:val="0"/>
      <w:sz w:val="32"/>
      <w:szCs w:val="32"/>
      <w:shd w:val="clear" w:color="auto" w:fill="FFFFFF"/>
    </w:rPr>
  </w:style>
  <w:style w:type="paragraph" w:customStyle="1" w:styleId="23">
    <w:name w:val="列出段落1"/>
    <w:basedOn w:val="1"/>
    <w:qFormat/>
    <w:uiPriority w:val="0"/>
    <w:pPr>
      <w:ind w:firstLine="420" w:firstLineChars="200"/>
    </w:p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WPSOffice手动目录 2"/>
    <w:qFormat/>
    <w:uiPriority w:val="0"/>
    <w:pPr>
      <w:ind w:leftChars="200"/>
    </w:pPr>
    <w:rPr>
      <w:rFonts w:ascii="Times New Roman" w:hAnsi="Times New Roman" w:eastAsia="宋体" w:cs="Times New Roman"/>
      <w:sz w:val="20"/>
      <w:szCs w:val="20"/>
    </w:rPr>
  </w:style>
  <w:style w:type="character" w:customStyle="1" w:styleId="26">
    <w:name w:val="font101"/>
    <w:basedOn w:val="16"/>
    <w:qFormat/>
    <w:uiPriority w:val="0"/>
    <w:rPr>
      <w:rFonts w:hint="eastAsia" w:ascii="宋体" w:hAnsi="宋体" w:eastAsia="宋体" w:cs="宋体"/>
      <w:color w:val="000000"/>
      <w:sz w:val="18"/>
      <w:szCs w:val="18"/>
      <w:u w:val="none"/>
    </w:rPr>
  </w:style>
  <w:style w:type="character" w:customStyle="1" w:styleId="27">
    <w:name w:val="font111"/>
    <w:basedOn w:val="16"/>
    <w:qFormat/>
    <w:uiPriority w:val="0"/>
    <w:rPr>
      <w:rFonts w:hint="eastAsia" w:ascii="宋体" w:hAnsi="宋体" w:eastAsia="宋体" w:cs="宋体"/>
      <w:color w:val="FF0000"/>
      <w:sz w:val="18"/>
      <w:szCs w:val="18"/>
      <w:u w:val="none"/>
    </w:rPr>
  </w:style>
  <w:style w:type="character" w:customStyle="1" w:styleId="28">
    <w:name w:val="font12"/>
    <w:basedOn w:val="16"/>
    <w:qFormat/>
    <w:uiPriority w:val="0"/>
    <w:rPr>
      <w:rFonts w:hint="eastAsia" w:ascii="宋体" w:hAnsi="宋体" w:eastAsia="宋体" w:cs="宋体"/>
      <w:color w:val="000000"/>
      <w:sz w:val="18"/>
      <w:szCs w:val="18"/>
      <w:u w:val="none"/>
    </w:rPr>
  </w:style>
  <w:style w:type="character" w:customStyle="1" w:styleId="29">
    <w:name w:val="font81"/>
    <w:basedOn w:val="16"/>
    <w:qFormat/>
    <w:uiPriority w:val="0"/>
    <w:rPr>
      <w:rFonts w:hint="eastAsia" w:ascii="宋体" w:hAnsi="宋体" w:eastAsia="宋体" w:cs="宋体"/>
      <w:color w:val="000000"/>
      <w:sz w:val="18"/>
      <w:szCs w:val="18"/>
      <w:u w:val="none"/>
    </w:rPr>
  </w:style>
  <w:style w:type="character" w:customStyle="1" w:styleId="30">
    <w:name w:val="font91"/>
    <w:basedOn w:val="16"/>
    <w:qFormat/>
    <w:uiPriority w:val="0"/>
    <w:rPr>
      <w:rFonts w:hint="eastAsia" w:ascii="宋体" w:hAnsi="宋体" w:eastAsia="宋体" w:cs="宋体"/>
      <w:color w:val="FF0000"/>
      <w:sz w:val="18"/>
      <w:szCs w:val="18"/>
      <w:u w:val="none"/>
    </w:rPr>
  </w:style>
  <w:style w:type="character" w:customStyle="1" w:styleId="31">
    <w:name w:val="font41"/>
    <w:basedOn w:val="16"/>
    <w:qFormat/>
    <w:uiPriority w:val="0"/>
    <w:rPr>
      <w:rFonts w:hint="eastAsia" w:ascii="宋体" w:hAnsi="宋体" w:eastAsia="宋体" w:cs="宋体"/>
      <w:color w:val="000000"/>
      <w:sz w:val="18"/>
      <w:szCs w:val="18"/>
      <w:u w:val="none"/>
    </w:rPr>
  </w:style>
  <w:style w:type="character" w:customStyle="1" w:styleId="32">
    <w:name w:val="font51"/>
    <w:basedOn w:val="16"/>
    <w:qFormat/>
    <w:uiPriority w:val="0"/>
    <w:rPr>
      <w:rFonts w:hint="eastAsia" w:ascii="宋体" w:hAnsi="宋体" w:eastAsia="宋体" w:cs="宋体"/>
      <w:b/>
      <w:bCs/>
      <w:color w:val="FF0000"/>
      <w:sz w:val="18"/>
      <w:szCs w:val="18"/>
      <w:u w:val="none"/>
    </w:rPr>
  </w:style>
  <w:style w:type="character" w:customStyle="1" w:styleId="33">
    <w:name w:val="font21"/>
    <w:basedOn w:val="16"/>
    <w:qFormat/>
    <w:uiPriority w:val="0"/>
    <w:rPr>
      <w:rFonts w:hint="eastAsia" w:ascii="宋体" w:hAnsi="宋体" w:eastAsia="宋体" w:cs="宋体"/>
      <w:color w:val="FF0000"/>
      <w:sz w:val="18"/>
      <w:szCs w:val="18"/>
      <w:u w:val="none"/>
    </w:rPr>
  </w:style>
  <w:style w:type="character" w:customStyle="1" w:styleId="34">
    <w:name w:val="font31"/>
    <w:basedOn w:val="16"/>
    <w:qFormat/>
    <w:uiPriority w:val="0"/>
    <w:rPr>
      <w:rFonts w:hint="eastAsia" w:ascii="宋体" w:hAnsi="宋体" w:eastAsia="宋体" w:cs="宋体"/>
      <w:color w:val="000000"/>
      <w:sz w:val="18"/>
      <w:szCs w:val="18"/>
      <w:u w:val="none"/>
    </w:rPr>
  </w:style>
  <w:style w:type="character" w:customStyle="1" w:styleId="35">
    <w:name w:val="font01"/>
    <w:basedOn w:val="16"/>
    <w:qFormat/>
    <w:uiPriority w:val="0"/>
    <w:rPr>
      <w:rFonts w:hint="eastAsia" w:ascii="宋体" w:hAnsi="宋体" w:eastAsia="宋体" w:cs="宋体"/>
      <w:color w:val="000000"/>
      <w:sz w:val="18"/>
      <w:szCs w:val="18"/>
      <w:u w:val="none"/>
    </w:rPr>
  </w:style>
  <w:style w:type="paragraph" w:customStyle="1" w:styleId="36">
    <w:name w:val="Normal Indent_21771e1f-29b5-4388-b870-3ea9bb06db85"/>
    <w:basedOn w:val="1"/>
    <w:qFormat/>
    <w:uiPriority w:val="0"/>
    <w:pPr>
      <w:snapToGrid w:val="0"/>
      <w:spacing w:line="300" w:lineRule="auto"/>
      <w:ind w:firstLine="556"/>
    </w:pPr>
    <w:rPr>
      <w:rFonts w:ascii="仿宋_GB2312"/>
      <w:kern w:val="0"/>
    </w:rPr>
  </w:style>
  <w:style w:type="paragraph" w:styleId="37">
    <w:name w:val="List Paragraph"/>
    <w:basedOn w:val="1"/>
    <w:qFormat/>
    <w:uiPriority w:val="99"/>
    <w:pPr>
      <w:ind w:firstLine="420" w:firstLineChars="200"/>
    </w:pPr>
  </w:style>
  <w:style w:type="paragraph" w:customStyle="1" w:styleId="38">
    <w:name w:val="标题4"/>
    <w:basedOn w:val="1"/>
    <w:qFormat/>
    <w:uiPriority w:val="0"/>
    <w:pPr>
      <w:spacing w:line="620" w:lineRule="exact"/>
      <w:ind w:firstLine="420" w:firstLineChars="200"/>
      <w:outlineLvl w:val="3"/>
    </w:pPr>
    <w:rPr>
      <w:rFonts w:eastAsia="方正楷体_GBK"/>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chart" Target="charts/chart8.xml"/><Relationship Id="rId17" Type="http://schemas.openxmlformats.org/officeDocument/2006/relationships/chart" Target="charts/chart7.xml"/><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24037;&#20316;&#31807;1"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wwc52\Desktop\&#65288;&#27719;&#24635;&#65289;&#38468;&#20214;2&#65306;&#26970;&#38596;&#24030;&#8220;&#21313;&#22235;&#20116;&#8221;&#39033;&#30446;&#35268;&#21010;&#34920;(&#20803;&#35851;&#21439;&#26519;&#33609;&#23616;&#24847;&#35265;&#24449;&#35810;&#34920;)2021.9.9.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wwc52\Desktop\&#65288;&#27719;&#24635;&#65289;&#38468;&#20214;2&#65306;&#26970;&#38596;&#24030;&#8220;&#21313;&#22235;&#20116;&#8221;&#39033;&#30446;&#35268;&#21010;&#34920;(&#20803;&#35851;&#21439;&#26519;&#33609;&#23616;&#24847;&#35265;&#24449;&#35810;&#34920;)2021.9.6(2).xls"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24037;&#20316;&#31807;1"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wwc52\Desktop\&#21313;&#22235;&#20116;&#35268;&#21010;&#25991;&#26412;&#20462;&#25913;docx\&#65288;&#27719;&#24635;&#65289;&#38468;&#20214;2&#65306;&#26970;&#38596;&#24030;&#8220;&#21313;&#22235;&#20116;&#8221;&#39033;&#30446;&#35268;&#21010;&#34920;(&#20803;&#35851;&#21439;&#26519;&#33609;&#23616;&#24847;&#35265;&#24449;&#35810;&#34920;)2021.9.9.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C:\Users\wwc52\Desktop\&#21313;&#22235;&#20116;&#35268;&#21010;&#25991;&#26412;&#20462;&#25913;docx\&#65288;&#27719;&#24635;&#65289;&#38468;&#20214;2&#65306;&#26970;&#38596;&#24030;&#8220;&#21313;&#22235;&#20116;&#8221;&#39033;&#30446;&#35268;&#21010;&#34920;(&#20803;&#35851;&#21439;&#26519;&#33609;&#23616;&#24847;&#35265;&#24449;&#35810;&#34920;)2021.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spc="0" baseline="0">
                <a:solidFill>
                  <a:schemeClr val="tx1">
                    <a:lumMod val="65000"/>
                    <a:lumOff val="35000"/>
                  </a:schemeClr>
                </a:solidFill>
                <a:latin typeface="微软雅黑" panose="020B0503020204020204" charset="-122"/>
                <a:ea typeface="微软雅黑" panose="020B0503020204020204" charset="-122"/>
                <a:cs typeface="+mn-cs"/>
              </a:defRPr>
            </a:pPr>
            <a:r>
              <a:rPr b="1">
                <a:solidFill>
                  <a:srgbClr val="00B050"/>
                </a:solidFill>
                <a:latin typeface="楷体" panose="02010609060101010101" charset="-122"/>
                <a:ea typeface="楷体" panose="02010609060101010101" charset="-122"/>
                <a:cs typeface="楷体" panose="02010609060101010101" charset="-122"/>
              </a:rPr>
              <a:t>“十四五”国土绿化任务量</a:t>
            </a:r>
            <a:endParaRPr b="1">
              <a:solidFill>
                <a:srgbClr val="00B050"/>
              </a:solidFill>
              <a:latin typeface="楷体" panose="02010609060101010101" charset="-122"/>
              <a:ea typeface="楷体" panose="02010609060101010101" charset="-122"/>
              <a:cs typeface="楷体" panose="02010609060101010101" charset="-122"/>
            </a:endParaRPr>
          </a:p>
          <a:p>
            <a:pPr>
              <a:defRPr lang="zh-CN" sz="1400" b="0" i="0" u="none" strike="noStrike" kern="1200" spc="0" baseline="0">
                <a:solidFill>
                  <a:schemeClr val="tx1">
                    <a:lumMod val="65000"/>
                    <a:lumOff val="35000"/>
                  </a:schemeClr>
                </a:solidFill>
                <a:latin typeface="微软雅黑" panose="020B0503020204020204" charset="-122"/>
                <a:ea typeface="微软雅黑" panose="020B0503020204020204" charset="-122"/>
                <a:cs typeface="+mn-cs"/>
              </a:defRPr>
            </a:pPr>
          </a:p>
        </c:rich>
      </c:tx>
      <c:layout/>
      <c:overlay val="0"/>
      <c:spPr>
        <a:noFill/>
        <a:ln>
          <a:noFill/>
        </a:ln>
        <a:effectLst/>
      </c:spPr>
    </c:title>
    <c:autoTitleDeleted val="0"/>
    <c:plotArea>
      <c:layout/>
      <c:barChart>
        <c:barDir val="bar"/>
        <c:grouping val="clustered"/>
        <c:varyColors val="0"/>
        <c:ser>
          <c:idx val="0"/>
          <c:order val="0"/>
          <c:spPr>
            <a:solidFill>
              <a:srgbClr val="70AD47"/>
            </a:solidFill>
            <a:ln>
              <a:solidFill>
                <a:schemeClr val="bg1"/>
              </a:solid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[工作簿1]Sheet1!$A$1:$A$5</c:f>
              <c:strCache>
                <c:ptCount val="5"/>
                <c:pt idx="0">
                  <c:v>石漠化林草修复</c:v>
                </c:pt>
                <c:pt idx="1">
                  <c:v>退耕还林还草</c:v>
                </c:pt>
                <c:pt idx="2">
                  <c:v>退化林修复</c:v>
                </c:pt>
                <c:pt idx="3">
                  <c:v>人工造林</c:v>
                </c:pt>
                <c:pt idx="4">
                  <c:v>封山育林</c:v>
                </c:pt>
              </c:strCache>
            </c:strRef>
          </c:cat>
          <c:val>
            <c:numRef>
              <c:f>[工作簿1]Sheet1!$B$1:$B$5</c:f>
              <c:numCache>
                <c:formatCode>General</c:formatCode>
                <c:ptCount val="5"/>
                <c:pt idx="0">
                  <c:v>3.7</c:v>
                </c:pt>
                <c:pt idx="1">
                  <c:v>0.5</c:v>
                </c:pt>
                <c:pt idx="2">
                  <c:v>4.75</c:v>
                </c:pt>
                <c:pt idx="3">
                  <c:v>19.2301</c:v>
                </c:pt>
                <c:pt idx="4">
                  <c:v>19.4081</c:v>
                </c:pt>
              </c:numCache>
            </c:numRef>
          </c:val>
        </c:ser>
        <c:dLbls>
          <c:showLegendKey val="0"/>
          <c:showVal val="0"/>
          <c:showCatName val="0"/>
          <c:showSerName val="0"/>
          <c:showPercent val="0"/>
          <c:showBubbleSize val="0"/>
        </c:dLbls>
        <c:gapWidth val="150"/>
        <c:axId val="77713620"/>
        <c:axId val="448469502"/>
      </c:barChart>
      <c:catAx>
        <c:axId val="77713620"/>
        <c:scaling>
          <c:orientation val="minMax"/>
        </c:scaling>
        <c:delete val="0"/>
        <c:axPos val="l"/>
        <c:numFmt formatCode="General" sourceLinked="1"/>
        <c:majorTickMark val="out"/>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1" i="0" u="none" strike="noStrike" kern="1200" baseline="0">
                <a:solidFill>
                  <a:schemeClr val="tx1">
                    <a:lumMod val="65000"/>
                    <a:lumOff val="35000"/>
                  </a:schemeClr>
                </a:solidFill>
                <a:latin typeface="微软雅黑" panose="020B0503020204020204" charset="-122"/>
                <a:ea typeface="微软雅黑" panose="020B0503020204020204" charset="-122"/>
                <a:cs typeface="+mn-cs"/>
              </a:defRPr>
            </a:pPr>
          </a:p>
        </c:txPr>
        <c:crossAx val="448469502"/>
        <c:crosses val="autoZero"/>
        <c:auto val="1"/>
        <c:lblAlgn val="ctr"/>
        <c:lblOffset val="100"/>
        <c:noMultiLvlLbl val="0"/>
      </c:catAx>
      <c:valAx>
        <c:axId val="448469502"/>
        <c:scaling>
          <c:orientation val="minMax"/>
        </c:scaling>
        <c:delete val="0"/>
        <c:axPos val="b"/>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Arial" panose="020B0604020202020204" pitchFamily="7" charset="0"/>
                <a:ea typeface="+mn-ea"/>
                <a:cs typeface="Arial" panose="020B0604020202020204" pitchFamily="7" charset="0"/>
              </a:defRPr>
            </a:pPr>
          </a:p>
        </c:txPr>
        <c:crossAx val="7771362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accent1"/>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0" vertOverflow="ellipsis" vert="horz" wrap="square" anchor="ctr" anchorCtr="1" forceAA="0"/>
          <a:lstStyle/>
          <a:p>
            <a:pPr>
              <a:defRPr lang="zh-CN" sz="1400" b="0" i="0" u="none" strike="noStrike" kern="1200" spc="0" baseline="0">
                <a:solidFill>
                  <a:srgbClr val="00B050"/>
                </a:solidFill>
                <a:latin typeface="微软雅黑" panose="020B0503020204020204" charset="-122"/>
                <a:ea typeface="微软雅黑" panose="020B0503020204020204" charset="-122"/>
                <a:cs typeface="+mn-cs"/>
              </a:defRPr>
            </a:pPr>
            <a:r>
              <a:rPr sz="1600" b="1">
                <a:solidFill>
                  <a:srgbClr val="00B050"/>
                </a:solidFill>
                <a:latin typeface="楷体" panose="02010609060101010101" charset="-122"/>
                <a:ea typeface="楷体" panose="02010609060101010101" charset="-122"/>
                <a:cs typeface="楷体" panose="02010609060101010101" charset="-122"/>
              </a:rPr>
              <a:t>“十四五”国土绿化计划项目投资金额</a:t>
            </a:r>
            <a:endParaRPr sz="1600" b="1">
              <a:solidFill>
                <a:srgbClr val="00B050"/>
              </a:solidFill>
              <a:latin typeface="楷体" panose="02010609060101010101" charset="-122"/>
              <a:ea typeface="楷体" panose="02010609060101010101" charset="-122"/>
              <a:cs typeface="楷体" panose="02010609060101010101" charset="-122"/>
            </a:endParaRPr>
          </a:p>
          <a:p>
            <a:pPr>
              <a:defRPr lang="zh-CN" sz="1400" b="0" i="0" u="none" strike="noStrike" kern="1200" spc="0" baseline="0">
                <a:solidFill>
                  <a:srgbClr val="00B050"/>
                </a:solidFill>
                <a:latin typeface="微软雅黑" panose="020B0503020204020204" charset="-122"/>
                <a:ea typeface="微软雅黑" panose="020B0503020204020204" charset="-122"/>
                <a:cs typeface="+mn-cs"/>
              </a:defRPr>
            </a:pPr>
            <a:endParaRPr>
              <a:solidFill>
                <a:srgbClr val="00B050"/>
              </a:solidFill>
            </a:endParaRPr>
          </a:p>
        </c:rich>
      </c:tx>
      <c:layout/>
      <c:overlay val="0"/>
      <c:spPr>
        <a:noFill/>
        <a:ln>
          <a:noFill/>
        </a:ln>
        <a:effectLst/>
      </c:spPr>
    </c:title>
    <c:autoTitleDeleted val="0"/>
    <c:plotArea>
      <c:layout>
        <c:manualLayout>
          <c:layoutTarget val="inner"/>
          <c:xMode val="edge"/>
          <c:yMode val="edge"/>
          <c:x val="0.50023503077784"/>
          <c:y val="0.121628881487053"/>
          <c:w val="0.441007274762171"/>
          <c:h val="0.825120876759428"/>
        </c:manualLayout>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[工作簿1]Sheet1!$A$1:$A$16</c:f>
              <c:strCache>
                <c:ptCount val="16"/>
                <c:pt idx="0">
                  <c:v>长江经济带金沙江流域元谋段重点生态区域生态环境修复与保护建设工程</c:v>
                </c:pt>
                <c:pt idx="1">
                  <c:v>元谋县金沙江干热河谷生态修复与保护工程项目</c:v>
                </c:pt>
                <c:pt idx="2">
                  <c:v>元谋县低产林提质改造</c:v>
                </c:pt>
                <c:pt idx="3">
                  <c:v>元谋县新一轮退耕还林工程</c:v>
                </c:pt>
                <c:pt idx="4">
                  <c:v>元谋县陡坡地生态治理项目</c:v>
                </c:pt>
                <c:pt idx="5">
                  <c:v>元谋县森林草原资源培育工程</c:v>
                </c:pt>
                <c:pt idx="6">
                  <c:v>元谋县重点区域生态保护和修复工程</c:v>
                </c:pt>
                <c:pt idx="7">
                  <c:v>元谋县金沙江流域生态修复林草种苗基地建设工程项目</c:v>
                </c:pt>
                <c:pt idx="8">
                  <c:v>元谋县长江经济带干流绿色生态廊道质量提升工程</c:v>
                </c:pt>
                <c:pt idx="9">
                  <c:v>元谋县2022年生态保护和修复项目</c:v>
                </c:pt>
                <c:pt idx="10">
                  <c:v>元谋县2021年横断山区水源涵养与生物多样性保护项目</c:v>
                </c:pt>
                <c:pt idx="11">
                  <c:v>元谋县“互联网+全民义务植树”项目</c:v>
                </c:pt>
                <c:pt idx="12">
                  <c:v>元谋县天然林保护工程中长期建设项目</c:v>
                </c:pt>
                <c:pt idx="13">
                  <c:v>元谋县石漠化生态治理造林项目</c:v>
                </c:pt>
                <c:pt idx="14">
                  <c:v>长江经济带金沙江流域元谋段金沙江干流面山生态修复工程建设项目</c:v>
                </c:pt>
                <c:pt idx="15">
                  <c:v>元谋县中幼林抚育项目</c:v>
                </c:pt>
              </c:strCache>
            </c:strRef>
          </c:cat>
          <c:val>
            <c:numRef>
              <c:f>[工作簿1]Sheet1!$B$1:$B$16</c:f>
              <c:numCache>
                <c:formatCode>0.00_ </c:formatCode>
                <c:ptCount val="16"/>
                <c:pt idx="0">
                  <c:v>37103.1775</c:v>
                </c:pt>
                <c:pt idx="1">
                  <c:v>17220.075</c:v>
                </c:pt>
                <c:pt idx="2">
                  <c:v>2000</c:v>
                </c:pt>
                <c:pt idx="3">
                  <c:v>2500</c:v>
                </c:pt>
                <c:pt idx="4">
                  <c:v>2500</c:v>
                </c:pt>
                <c:pt idx="5">
                  <c:v>18500</c:v>
                </c:pt>
                <c:pt idx="6">
                  <c:v>22500</c:v>
                </c:pt>
                <c:pt idx="7">
                  <c:v>3060</c:v>
                </c:pt>
                <c:pt idx="8">
                  <c:v>101900</c:v>
                </c:pt>
                <c:pt idx="9">
                  <c:v>3400</c:v>
                </c:pt>
                <c:pt idx="10">
                  <c:v>830</c:v>
                </c:pt>
                <c:pt idx="11">
                  <c:v>500</c:v>
                </c:pt>
                <c:pt idx="12">
                  <c:v>9140</c:v>
                </c:pt>
                <c:pt idx="13">
                  <c:v>6200</c:v>
                </c:pt>
                <c:pt idx="14">
                  <c:v>29936.06</c:v>
                </c:pt>
                <c:pt idx="15">
                  <c:v>4000</c:v>
                </c:pt>
              </c:numCache>
            </c:numRef>
          </c:val>
        </c:ser>
        <c:dLbls>
          <c:showLegendKey val="0"/>
          <c:showVal val="1"/>
          <c:showCatName val="0"/>
          <c:showSerName val="0"/>
          <c:showPercent val="0"/>
          <c:showBubbleSize val="0"/>
        </c:dLbls>
        <c:gapWidth val="150"/>
        <c:axId val="404667653"/>
        <c:axId val="36885318"/>
      </c:barChart>
      <c:catAx>
        <c:axId val="404667653"/>
        <c:scaling>
          <c:orientation val="minMax"/>
        </c:scaling>
        <c:delete val="0"/>
        <c:axPos val="l"/>
        <c:numFmt formatCode="General" sourceLinked="1"/>
        <c:majorTickMark val="out"/>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1" i="0" u="none" strike="noStrike" kern="1200" baseline="0">
                <a:solidFill>
                  <a:schemeClr val="tx1">
                    <a:lumMod val="65000"/>
                    <a:lumOff val="35000"/>
                  </a:schemeClr>
                </a:solidFill>
                <a:latin typeface="微软雅黑" panose="020B0503020204020204" charset="-122"/>
                <a:ea typeface="微软雅黑" panose="020B0503020204020204" charset="-122"/>
                <a:cs typeface="+mn-cs"/>
              </a:defRPr>
            </a:pPr>
          </a:p>
        </c:txPr>
        <c:crossAx val="36885318"/>
        <c:crosses val="autoZero"/>
        <c:auto val="1"/>
        <c:lblAlgn val="ctr"/>
        <c:lblOffset val="100"/>
        <c:noMultiLvlLbl val="0"/>
      </c:catAx>
      <c:valAx>
        <c:axId val="36885318"/>
        <c:scaling>
          <c:orientation val="minMax"/>
        </c:scaling>
        <c:delete val="0"/>
        <c:axPos val="b"/>
        <c:majorGridlines>
          <c:spPr>
            <a:ln w="9525" cap="flat" cmpd="sng" algn="ctr">
              <a:solidFill>
                <a:schemeClr val="bg1">
                  <a:lumMod val="950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1" i="0" u="none" strike="noStrike" kern="1200" baseline="0">
                <a:solidFill>
                  <a:schemeClr val="tx1">
                    <a:lumMod val="65000"/>
                    <a:lumOff val="35000"/>
                  </a:schemeClr>
                </a:solidFill>
                <a:latin typeface="Arial" panose="020B0604020202020204" pitchFamily="7" charset="0"/>
                <a:ea typeface="+mn-ea"/>
                <a:cs typeface="Arial" panose="020B0604020202020204" pitchFamily="7" charset="0"/>
              </a:defRPr>
            </a:pPr>
          </a:p>
        </c:txPr>
        <c:crossAx val="404667653"/>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accent1"/>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0" vertOverflow="ellipsis" vert="horz" wrap="square" anchor="ctr" anchorCtr="1" forceAA="0"/>
          <a:lstStyle/>
          <a:p>
            <a:pPr>
              <a:defRPr lang="zh-CN" sz="1400" b="0" i="0" u="none" strike="noStrike" kern="1200" spc="0" baseline="0">
                <a:solidFill>
                  <a:srgbClr val="00B050"/>
                </a:solidFill>
                <a:latin typeface="微软雅黑" panose="020B0503020204020204" charset="-122"/>
                <a:ea typeface="微软雅黑" panose="020B0503020204020204" charset="-122"/>
                <a:cs typeface="+mn-cs"/>
              </a:defRPr>
            </a:pPr>
            <a:r>
              <a:rPr b="1">
                <a:solidFill>
                  <a:srgbClr val="00B050"/>
                </a:solidFill>
                <a:latin typeface="楷体" panose="02010609060101010101" charset="-122"/>
                <a:ea typeface="楷体" panose="02010609060101010101" charset="-122"/>
                <a:cs typeface="楷体" panose="02010609060101010101" charset="-122"/>
              </a:rPr>
              <a:t>“十四五”林草资源监督管理计划项目投资额</a:t>
            </a:r>
            <a:endParaRPr b="1">
              <a:solidFill>
                <a:srgbClr val="00B050"/>
              </a:solidFill>
              <a:latin typeface="楷体" panose="02010609060101010101" charset="-122"/>
              <a:ea typeface="楷体" panose="02010609060101010101" charset="-122"/>
              <a:cs typeface="楷体" panose="02010609060101010101" charset="-122"/>
            </a:endParaRPr>
          </a:p>
          <a:p>
            <a:pPr>
              <a:defRPr lang="zh-CN" sz="1400" b="0" i="0" u="none" strike="noStrike" kern="1200" spc="0" baseline="0">
                <a:solidFill>
                  <a:srgbClr val="00B050"/>
                </a:solidFill>
                <a:latin typeface="微软雅黑" panose="020B0503020204020204" charset="-122"/>
                <a:ea typeface="微软雅黑" panose="020B0503020204020204" charset="-122"/>
                <a:cs typeface="+mn-cs"/>
              </a:defRPr>
            </a:pPr>
            <a:endParaRPr>
              <a:solidFill>
                <a:srgbClr val="00B050"/>
              </a:solidFill>
            </a:endParaRPr>
          </a:p>
        </c:rich>
      </c:tx>
      <c:layout/>
      <c:overlay val="0"/>
      <c:spPr>
        <a:noFill/>
        <a:ln>
          <a:noFill/>
        </a:ln>
        <a:effectLst/>
      </c:spPr>
    </c:title>
    <c:autoTitleDeleted val="0"/>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[工作簿1]Sheet1!$A$31:$A$35</c:f>
              <c:strCache>
                <c:ptCount val="5"/>
                <c:pt idx="0">
                  <c:v>元谋县国有林场生态保护支撑体系建设项目</c:v>
                </c:pt>
                <c:pt idx="1">
                  <c:v>金沙江干热河谷元谋县草原资源调查及监测建设项目</c:v>
                </c:pt>
                <c:pt idx="2">
                  <c:v>元谋县植物志及古树调查编撰及数据库、信息管理系统建设项目</c:v>
                </c:pt>
                <c:pt idx="3">
                  <c:v>古树名木保护管理项目</c:v>
                </c:pt>
                <c:pt idx="4">
                  <c:v>元谋县“十四五”林草综合行政执法体系建设项目</c:v>
                </c:pt>
              </c:strCache>
            </c:strRef>
          </c:cat>
          <c:val>
            <c:numRef>
              <c:f>[工作簿1]Sheet1!$B$31:$B$35</c:f>
              <c:numCache>
                <c:formatCode>0.00_ </c:formatCode>
                <c:ptCount val="5"/>
                <c:pt idx="0">
                  <c:v>5434.9</c:v>
                </c:pt>
                <c:pt idx="1">
                  <c:v>9100</c:v>
                </c:pt>
                <c:pt idx="2">
                  <c:v>1000</c:v>
                </c:pt>
                <c:pt idx="3">
                  <c:v>5000</c:v>
                </c:pt>
                <c:pt idx="4" c:formatCode="General">
                  <c:v>300</c:v>
                </c:pt>
              </c:numCache>
            </c:numRef>
          </c:val>
        </c:ser>
        <c:dLbls>
          <c:showLegendKey val="0"/>
          <c:showVal val="1"/>
          <c:showCatName val="0"/>
          <c:showSerName val="0"/>
          <c:showPercent val="0"/>
          <c:showBubbleSize val="0"/>
        </c:dLbls>
        <c:gapWidth val="150"/>
        <c:axId val="187205949"/>
        <c:axId val="247684042"/>
      </c:barChart>
      <c:catAx>
        <c:axId val="187205949"/>
        <c:scaling>
          <c:orientation val="minMax"/>
        </c:scaling>
        <c:delete val="0"/>
        <c:axPos val="l"/>
        <c:numFmt formatCode="General" sourceLinked="1"/>
        <c:majorTickMark val="out"/>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1" i="0" u="none" strike="noStrike" kern="1200" baseline="0">
                <a:solidFill>
                  <a:schemeClr val="tx1">
                    <a:lumMod val="65000"/>
                    <a:lumOff val="35000"/>
                  </a:schemeClr>
                </a:solidFill>
                <a:latin typeface="微软雅黑" panose="020B0503020204020204" charset="-122"/>
                <a:ea typeface="微软雅黑" panose="020B0503020204020204" charset="-122"/>
                <a:cs typeface="+mn-cs"/>
              </a:defRPr>
            </a:pPr>
          </a:p>
        </c:txPr>
        <c:crossAx val="247684042"/>
        <c:crosses val="autoZero"/>
        <c:auto val="1"/>
        <c:lblAlgn val="ctr"/>
        <c:lblOffset val="100"/>
        <c:noMultiLvlLbl val="0"/>
      </c:catAx>
      <c:valAx>
        <c:axId val="247684042"/>
        <c:scaling>
          <c:orientation val="minMax"/>
        </c:scaling>
        <c:delete val="0"/>
        <c:axPos val="b"/>
        <c:majorGridlines>
          <c:spPr>
            <a:ln w="9525" cap="flat" cmpd="sng" algn="ctr">
              <a:solidFill>
                <a:schemeClr val="bg1">
                  <a:lumMod val="950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500" b="1" i="0" u="none" strike="noStrike" kern="1200" baseline="0">
                <a:solidFill>
                  <a:schemeClr val="tx1">
                    <a:lumMod val="65000"/>
                    <a:lumOff val="35000"/>
                  </a:schemeClr>
                </a:solidFill>
                <a:latin typeface="Arial" panose="020B0604020202020204" pitchFamily="7" charset="0"/>
                <a:ea typeface="+mn-ea"/>
                <a:cs typeface="Arial" panose="020B0604020202020204" pitchFamily="7" charset="0"/>
              </a:defRPr>
            </a:pPr>
          </a:p>
        </c:txPr>
        <c:crossAx val="187205949"/>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accent1"/>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0" vertOverflow="ellipsis" vert="horz" wrap="square" anchor="ctr" anchorCtr="1"/>
          <a:lstStyle/>
          <a:p>
            <a:pPr defTabSz="914400">
              <a:defRPr lang="zh-CN" sz="1400" b="1" i="0" u="none" strike="noStrike" kern="1200" spc="0" baseline="0">
                <a:solidFill>
                  <a:srgbClr val="00B050"/>
                </a:solidFill>
                <a:latin typeface="方正楷体简体" panose="03000509000000000000" charset="-122"/>
                <a:ea typeface="方正楷体简体" panose="03000509000000000000" charset="-122"/>
                <a:cs typeface="方正楷体简体" panose="03000509000000000000" charset="-122"/>
                <a:sym typeface="方正楷体简体" panose="03000509000000000000" charset="-122"/>
              </a:defRPr>
            </a:pPr>
            <a:r>
              <a:rPr lang="en-US" altLang="zh-CN" b="1">
                <a:solidFill>
                  <a:srgbClr val="00B050"/>
                </a:solidFill>
                <a:latin typeface="方正楷体简体" panose="03000509000000000000" charset="-122"/>
                <a:ea typeface="方正楷体简体" panose="03000509000000000000" charset="-122"/>
                <a:cs typeface="方正楷体简体" panose="03000509000000000000" charset="-122"/>
                <a:sym typeface="方正楷体简体" panose="03000509000000000000" charset="-122"/>
              </a:rPr>
              <a:t>“</a:t>
            </a:r>
            <a:r>
              <a:rPr altLang="en-US" b="1">
                <a:solidFill>
                  <a:srgbClr val="00B050"/>
                </a:solidFill>
                <a:latin typeface="方正楷体简体" panose="03000509000000000000" charset="-122"/>
                <a:ea typeface="方正楷体简体" panose="03000509000000000000" charset="-122"/>
                <a:cs typeface="方正楷体简体" panose="03000509000000000000" charset="-122"/>
                <a:sym typeface="方正楷体简体" panose="03000509000000000000" charset="-122"/>
              </a:rPr>
              <a:t>十四五</a:t>
            </a:r>
            <a:r>
              <a:rPr lang="en-US" altLang="zh-CN" b="1">
                <a:solidFill>
                  <a:srgbClr val="00B050"/>
                </a:solidFill>
                <a:latin typeface="方正楷体简体" panose="03000509000000000000" charset="-122"/>
                <a:ea typeface="方正楷体简体" panose="03000509000000000000" charset="-122"/>
                <a:cs typeface="方正楷体简体" panose="03000509000000000000" charset="-122"/>
                <a:sym typeface="方正楷体简体" panose="03000509000000000000" charset="-122"/>
              </a:rPr>
              <a:t>”</a:t>
            </a:r>
            <a:r>
              <a:rPr altLang="en-US" b="1">
                <a:solidFill>
                  <a:srgbClr val="00B050"/>
                </a:solidFill>
                <a:latin typeface="方正楷体简体" panose="03000509000000000000" charset="-122"/>
                <a:ea typeface="方正楷体简体" panose="03000509000000000000" charset="-122"/>
                <a:cs typeface="方正楷体简体" panose="03000509000000000000" charset="-122"/>
                <a:sym typeface="方正楷体简体" panose="03000509000000000000" charset="-122"/>
              </a:rPr>
              <a:t>野生动植物保护计划项目投资金额</a:t>
            </a:r>
            <a:endParaRPr lang="en-US" altLang="zh-CN" b="1">
              <a:solidFill>
                <a:srgbClr val="00B050"/>
              </a:solidFill>
              <a:latin typeface="方正楷体简体" panose="03000509000000000000" charset="-122"/>
              <a:ea typeface="方正楷体简体" panose="03000509000000000000" charset="-122"/>
              <a:cs typeface="方正楷体简体" panose="03000509000000000000" charset="-122"/>
              <a:sym typeface="方正楷体简体" panose="03000509000000000000" charset="-122"/>
            </a:endParaRPr>
          </a:p>
        </c:rich>
      </c:tx>
      <c:layout>
        <c:manualLayout>
          <c:xMode val="edge"/>
          <c:yMode val="edge"/>
          <c:x val="0.207545019375427"/>
          <c:y val="0.0319073505081541"/>
        </c:manualLayout>
      </c:layout>
      <c:overlay val="0"/>
      <c:spPr>
        <a:noFill/>
        <a:ln>
          <a:noFill/>
        </a:ln>
        <a:effectLst/>
      </c:spPr>
    </c:title>
    <c:autoTitleDeleted val="0"/>
    <c:plotArea>
      <c:layout>
        <c:manualLayout>
          <c:layoutTarget val="inner"/>
          <c:xMode val="edge"/>
          <c:yMode val="edge"/>
          <c:x val="0.0629587417369501"/>
          <c:y val="0.22683999054597"/>
          <c:w val="0.530567586049692"/>
          <c:h val="0.6751311746632"/>
        </c:manualLayout>
      </c:layout>
      <c:pieChart>
        <c:varyColors val="1"/>
        <c:ser>
          <c:idx val="0"/>
          <c:order val="0"/>
          <c:spPr>
            <a:scene3d>
              <a:camera prst="orthographicFront"/>
              <a:lightRig rig="threePt" dir="t"/>
            </a:scene3d>
            <a:sp3d contourW="25400"/>
          </c:spPr>
          <c:explosion val="0"/>
          <c:dPt>
            <c:idx val="0"/>
            <c:bubble3D val="0"/>
            <c:spPr>
              <a:solidFill>
                <a:schemeClr val="accent6">
                  <a:shade val="76667"/>
                </a:schemeClr>
              </a:solidFill>
              <a:ln w="25400">
                <a:solidFill>
                  <a:schemeClr val="lt1"/>
                </a:solidFill>
              </a:ln>
              <a:effectLst/>
              <a:scene3d>
                <a:camera prst="orthographicFront"/>
                <a:lightRig rig="threePt" dir="t"/>
              </a:scene3d>
              <a:sp3d contourW="25400"/>
            </c:spPr>
          </c:dPt>
          <c:dPt>
            <c:idx val="1"/>
            <c:bubble3D val="0"/>
            <c:spPr>
              <a:solidFill>
                <a:schemeClr val="accent6">
                  <a:tint val="76667"/>
                </a:schemeClr>
              </a:solidFill>
              <a:ln w="25400">
                <a:solidFill>
                  <a:schemeClr val="lt1"/>
                </a:solidFill>
              </a:ln>
              <a:effectLst/>
              <a:scene3d>
                <a:camera prst="orthographicFront"/>
                <a:lightRig rig="threePt" dir="t"/>
              </a:scene3d>
              <a:sp3d contourW="25400"/>
            </c:spPr>
          </c:dPt>
          <c:dLbls>
            <c:dLbl>
              <c:idx val="1"/>
              <c:layout>
                <c:manualLayout>
                  <c:x val="0.167216231799441"/>
                  <c:y val="-0.190020713595061"/>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0.119899703669934"/>
                      <c:h val="0.0853226187662491"/>
                    </c:manualLayout>
                  </c15:layout>
                </c:ext>
              </c:extLst>
            </c:dLbl>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'[（汇总）附件2：楚雄州“十四五”项目规划表(元谋县林草局意见征询表)2021.9.9.xlsx]图形'!$A$52:$A$53</c:f>
              <c:strCache>
                <c:ptCount val="2"/>
                <c:pt idx="0">
                  <c:v>野生动植物生物多样性保护与可持续发展项目</c:v>
                </c:pt>
                <c:pt idx="1">
                  <c:v>野生动物监测信息化与管理体系项目</c:v>
                </c:pt>
              </c:strCache>
            </c:strRef>
          </c:cat>
          <c:val>
            <c:numRef>
              <c:f>'[（汇总）附件2：楚雄州“十四五”项目规划表(元谋县林草局意见征询表)2021.9.9.xlsx]图形'!$B$52:$B$53</c:f>
              <c:numCache>
                <c:formatCode>0.00_ </c:formatCode>
                <c:ptCount val="2"/>
                <c:pt idx="0">
                  <c:v>500</c:v>
                </c:pt>
                <c:pt idx="1">
                  <c:v>1000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egendEntry>
        <c:idx val="0"/>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Entry>
      <c:legendEntry>
        <c:idx val="1"/>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Entry>
      <c:layout>
        <c:manualLayout>
          <c:xMode val="edge"/>
          <c:yMode val="edge"/>
          <c:x val="0.5686322485931"/>
          <c:y val="0.425887743413517"/>
          <c:w val="0.427697577685344"/>
          <c:h val="0.238258877434135"/>
        </c:manualLayout>
      </c:layout>
      <c:overlay val="0"/>
      <c:spPr>
        <a:noFill/>
        <a:ln>
          <a:noFill/>
        </a:ln>
        <a:effectLst/>
      </c:spPr>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spc="0" baseline="0">
                <a:solidFill>
                  <a:srgbClr val="00B050"/>
                </a:solidFill>
                <a:latin typeface="+mn-lt"/>
                <a:ea typeface="+mn-ea"/>
                <a:cs typeface="+mn-cs"/>
              </a:defRPr>
            </a:pPr>
            <a:r>
              <a:rPr sz="1200" b="1">
                <a:solidFill>
                  <a:srgbClr val="00B050"/>
                </a:solidFill>
                <a:latin typeface="方正楷体简体" panose="03000509000000000000" charset="-122"/>
                <a:ea typeface="方正楷体简体" panose="03000509000000000000" charset="-122"/>
                <a:cs typeface="方正楷体简体" panose="03000509000000000000" charset="-122"/>
              </a:rPr>
              <a:t>“十四五”自然保护地建设计划项目投资金额</a:t>
            </a:r>
            <a:r>
              <a:rPr lang="en-US" altLang="zh-CN" sz="1200" b="1">
                <a:solidFill>
                  <a:srgbClr val="00B050"/>
                </a:solidFill>
                <a:latin typeface="方正楷体简体" panose="03000509000000000000" charset="-122"/>
                <a:ea typeface="方正楷体简体" panose="03000509000000000000" charset="-122"/>
                <a:cs typeface="方正楷体简体" panose="03000509000000000000" charset="-122"/>
              </a:rPr>
              <a:t>  </a:t>
            </a:r>
            <a:endParaRPr lang="en-US" altLang="zh-CN" sz="1200" b="1">
              <a:solidFill>
                <a:srgbClr val="00B050"/>
              </a:solidFill>
              <a:latin typeface="方正楷体简体" panose="03000509000000000000" charset="-122"/>
              <a:ea typeface="方正楷体简体" panose="03000509000000000000" charset="-122"/>
              <a:cs typeface="方正楷体简体" panose="03000509000000000000" charset="-122"/>
            </a:endParaRPr>
          </a:p>
        </c:rich>
      </c:tx>
      <c:layout>
        <c:manualLayout>
          <c:xMode val="edge"/>
          <c:yMode val="edge"/>
          <c:x val="0.12625"/>
          <c:y val="0.0277777777777778"/>
        </c:manualLayout>
      </c:layout>
      <c:overlay val="0"/>
      <c:spPr>
        <a:noFill/>
        <a:ln>
          <a:noFill/>
        </a:ln>
        <a:effectLst/>
      </c:spPr>
    </c:title>
    <c:autoTitleDeleted val="0"/>
    <c:plotArea>
      <c:layout>
        <c:manualLayout>
          <c:layoutTarget val="inner"/>
          <c:xMode val="edge"/>
          <c:yMode val="edge"/>
          <c:x val="0.0931388888888889"/>
          <c:y val="0.212986111111111"/>
          <c:w val="0.826222222222222"/>
          <c:h val="0.587685185185185"/>
        </c:manualLayout>
      </c:layout>
      <c:pieChart>
        <c:varyColors val="1"/>
        <c:ser>
          <c:idx val="0"/>
          <c:order val="0"/>
          <c:spPr>
            <a:solidFill>
              <a:schemeClr val="accent6"/>
            </a:solidFill>
            <a:scene3d>
              <a:camera prst="orthographicFront"/>
              <a:lightRig rig="threePt" dir="t"/>
            </a:scene3d>
            <a:sp3d contourW="25400"/>
          </c:spPr>
          <c:explosion val="0"/>
          <c:dPt>
            <c:idx val="0"/>
            <c:bubble3D val="0"/>
            <c:spPr>
              <a:solidFill>
                <a:schemeClr val="accent6"/>
              </a:solidFill>
              <a:ln w="25400">
                <a:solidFill>
                  <a:schemeClr val="lt1"/>
                </a:solidFill>
              </a:ln>
              <a:effectLst/>
              <a:scene3d>
                <a:camera prst="orthographicFront"/>
                <a:lightRig rig="threePt" dir="t"/>
              </a:scene3d>
              <a:sp3d contourW="25400"/>
            </c:spPr>
          </c:dPt>
          <c:dPt>
            <c:idx val="1"/>
            <c:bubble3D val="0"/>
            <c:spPr>
              <a:solidFill>
                <a:schemeClr val="accent4"/>
              </a:solidFill>
              <a:ln w="25400">
                <a:solidFill>
                  <a:schemeClr val="lt1"/>
                </a:solidFill>
              </a:ln>
              <a:effectLst/>
              <a:scene3d>
                <a:camera prst="orthographicFront"/>
                <a:lightRig rig="threePt" dir="t"/>
              </a:scene3d>
              <a:sp3d contourW="25400"/>
            </c:spPr>
          </c:dPt>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'[（汇总）附件2：楚雄州“十四五”项目规划表(元谋县林草局意见征询表)2021.9.6(2).xls]图形'!$A$35:$A$36</c:f>
              <c:strCache>
                <c:ptCount val="2"/>
                <c:pt idx="0">
                  <c:v>元谋县自然保护地保护与可持续发展建设项目</c:v>
                </c:pt>
                <c:pt idx="1">
                  <c:v>元谋县自然公园智慧管护项目</c:v>
                </c:pt>
              </c:strCache>
            </c:strRef>
          </c:cat>
          <c:val>
            <c:numRef>
              <c:f>'[（汇总）附件2：楚雄州“十四五”项目规划表(元谋县林草局意见征询表)2021.9.6(2).xls]图形'!$B$35:$B$36</c:f>
              <c:numCache>
                <c:formatCode>0.00_ </c:formatCode>
                <c:ptCount val="2"/>
                <c:pt idx="0">
                  <c:v>3000</c:v>
                </c:pt>
                <c:pt idx="1">
                  <c:v>1500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方正楷体简体" panose="03000509000000000000" charset="-122"/>
                <a:ea typeface="方正楷体简体" panose="03000509000000000000" charset="-122"/>
                <a:cs typeface="方正楷体简体" panose="03000509000000000000" charset="-122"/>
                <a:sym typeface="方正楷体简体" panose="03000509000000000000" charset="-122"/>
              </a:defRPr>
            </a:pPr>
          </a:p>
        </c:txPr>
      </c:legendEntry>
      <c:legendEntry>
        <c:idx val="1"/>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方正楷体简体" panose="03000509000000000000" charset="-122"/>
                <a:ea typeface="方正楷体简体" panose="03000509000000000000" charset="-122"/>
                <a:cs typeface="方正楷体简体" panose="03000509000000000000" charset="-122"/>
                <a:sym typeface="方正楷体简体" panose="03000509000000000000" charset="-122"/>
              </a:defRPr>
            </a:pPr>
          </a:p>
        </c:txPr>
      </c:legendEntry>
      <c:layout/>
      <c:overlay val="0"/>
      <c:spPr>
        <a:noFill/>
        <a:ln>
          <a:noFill/>
        </a:ln>
        <a:effectLst/>
      </c:spPr>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方正楷体简体" panose="03000509000000000000" charset="-122"/>
              <a:ea typeface="方正楷体简体" panose="03000509000000000000" charset="-122"/>
              <a:cs typeface="方正楷体简体" panose="03000509000000000000" charset="-122"/>
              <a:sym typeface="方正楷体简体" panose="03000509000000000000" charset="-122"/>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0" vertOverflow="ellipsis" vert="horz" wrap="square" anchor="ctr" anchorCtr="1" forceAA="0"/>
          <a:lstStyle/>
          <a:p>
            <a:pPr>
              <a:defRPr lang="zh-CN" sz="1400" b="0" i="0" u="none" strike="noStrike" kern="1200" spc="0" baseline="0">
                <a:solidFill>
                  <a:srgbClr val="00B050"/>
                </a:solidFill>
                <a:latin typeface="微软雅黑" panose="020B0503020204020204" charset="-122"/>
                <a:ea typeface="微软雅黑" panose="020B0503020204020204" charset="-122"/>
                <a:cs typeface="+mn-cs"/>
              </a:defRPr>
            </a:pPr>
            <a:r>
              <a:rPr b="1">
                <a:solidFill>
                  <a:srgbClr val="00B050"/>
                </a:solidFill>
                <a:latin typeface="楷体" panose="02010609060101010101" charset="-122"/>
                <a:ea typeface="楷体" panose="02010609060101010101" charset="-122"/>
                <a:cs typeface="楷体" panose="02010609060101010101" charset="-122"/>
              </a:rPr>
              <a:t>“十四五”林草产业重点工程计划项目投资金额</a:t>
            </a:r>
            <a:endParaRPr b="1">
              <a:solidFill>
                <a:srgbClr val="00B050"/>
              </a:solidFill>
              <a:latin typeface="楷体" panose="02010609060101010101" charset="-122"/>
              <a:ea typeface="楷体" panose="02010609060101010101" charset="-122"/>
              <a:cs typeface="楷体" panose="02010609060101010101" charset="-122"/>
            </a:endParaRPr>
          </a:p>
          <a:p>
            <a:pPr>
              <a:defRPr lang="zh-CN" sz="1400" b="0" i="0" u="none" strike="noStrike" kern="1200" spc="0" baseline="0">
                <a:solidFill>
                  <a:srgbClr val="00B050"/>
                </a:solidFill>
                <a:latin typeface="微软雅黑" panose="020B0503020204020204" charset="-122"/>
                <a:ea typeface="微软雅黑" panose="020B0503020204020204" charset="-122"/>
                <a:cs typeface="+mn-cs"/>
              </a:defRPr>
            </a:pPr>
            <a:endParaRPr>
              <a:solidFill>
                <a:srgbClr val="00B050"/>
              </a:solidFill>
            </a:endParaRPr>
          </a:p>
        </c:rich>
      </c:tx>
      <c:layout>
        <c:manualLayout>
          <c:xMode val="edge"/>
          <c:yMode val="edge"/>
          <c:x val="0.156495502675623"/>
          <c:y val="0.0269240538481077"/>
        </c:manualLayout>
      </c:layout>
      <c:overlay val="0"/>
      <c:spPr>
        <a:noFill/>
        <a:ln>
          <a:noFill/>
        </a:ln>
        <a:effectLst/>
      </c:spPr>
    </c:title>
    <c:autoTitleDeleted val="0"/>
    <c:plotArea>
      <c:layout/>
      <c:barChart>
        <c:barDir val="bar"/>
        <c:grouping val="clustered"/>
        <c:varyColors val="0"/>
        <c:ser>
          <c:idx val="0"/>
          <c:order val="0"/>
          <c:spPr>
            <a:solidFill>
              <a:schemeClr val="accent6"/>
            </a:solidFill>
            <a:ln>
              <a:noFill/>
            </a:ln>
            <a:effectLst/>
          </c:spPr>
          <c:invertIfNegative val="0"/>
          <c:dLbls>
            <c:dLbl>
              <c:idx val="0"/>
              <c:layout>
                <c:manualLayout>
                  <c:x val="0"/>
                  <c:y val="-0.046563192904656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[工作簿1]Sheet1!$A$22:$A$27</c:f>
              <c:strCache>
                <c:ptCount val="6"/>
                <c:pt idx="0">
                  <c:v>元谋县国家储备林等林业生态建设项目</c:v>
                </c:pt>
                <c:pt idx="1">
                  <c:v>元谋县林业产业建设项目</c:v>
                </c:pt>
                <c:pt idx="2">
                  <c:v>有机中药材种植基地项目</c:v>
                </c:pt>
                <c:pt idx="3">
                  <c:v>元谋县野生菌资源保护与保育促繁示范基地建设项目</c:v>
                </c:pt>
                <c:pt idx="4">
                  <c:v>元谋县核桃提质增效改造项目</c:v>
                </c:pt>
                <c:pt idx="5">
                  <c:v>元谋县核桃初加工机械一体化工程建设项目</c:v>
                </c:pt>
              </c:strCache>
            </c:strRef>
          </c:cat>
          <c:val>
            <c:numRef>
              <c:f>[工作簿1]Sheet1!$B$22:$B$27</c:f>
              <c:numCache>
                <c:formatCode>0.00_ </c:formatCode>
                <c:ptCount val="6"/>
                <c:pt idx="0">
                  <c:v>93469</c:v>
                </c:pt>
                <c:pt idx="1">
                  <c:v>5860</c:v>
                </c:pt>
                <c:pt idx="2">
                  <c:v>7500</c:v>
                </c:pt>
                <c:pt idx="3">
                  <c:v>6000</c:v>
                </c:pt>
                <c:pt idx="4">
                  <c:v>2500</c:v>
                </c:pt>
                <c:pt idx="5">
                  <c:v>1000</c:v>
                </c:pt>
              </c:numCache>
            </c:numRef>
          </c:val>
        </c:ser>
        <c:dLbls>
          <c:showLegendKey val="0"/>
          <c:showVal val="1"/>
          <c:showCatName val="0"/>
          <c:showSerName val="0"/>
          <c:showPercent val="0"/>
          <c:showBubbleSize val="0"/>
        </c:dLbls>
        <c:gapWidth val="150"/>
        <c:axId val="565595743"/>
        <c:axId val="671121173"/>
      </c:barChart>
      <c:catAx>
        <c:axId val="565595743"/>
        <c:scaling>
          <c:orientation val="minMax"/>
        </c:scaling>
        <c:delete val="0"/>
        <c:axPos val="l"/>
        <c:numFmt formatCode="General" sourceLinked="1"/>
        <c:majorTickMark val="out"/>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1" i="0" u="none" strike="noStrike" kern="1200" baseline="0">
                <a:solidFill>
                  <a:schemeClr val="tx1">
                    <a:lumMod val="65000"/>
                    <a:lumOff val="35000"/>
                  </a:schemeClr>
                </a:solidFill>
                <a:latin typeface="微软雅黑" panose="020B0503020204020204" charset="-122"/>
                <a:ea typeface="微软雅黑" panose="020B0503020204020204" charset="-122"/>
                <a:cs typeface="+mn-cs"/>
              </a:defRPr>
            </a:pPr>
          </a:p>
        </c:txPr>
        <c:crossAx val="671121173"/>
        <c:crosses val="autoZero"/>
        <c:auto val="1"/>
        <c:lblAlgn val="ctr"/>
        <c:lblOffset val="100"/>
        <c:noMultiLvlLbl val="0"/>
      </c:catAx>
      <c:valAx>
        <c:axId val="671121173"/>
        <c:scaling>
          <c:orientation val="minMax"/>
        </c:scaling>
        <c:delete val="0"/>
        <c:axPos val="b"/>
        <c:majorGridlines>
          <c:spPr>
            <a:ln w="9525" cap="flat" cmpd="sng" algn="ctr">
              <a:solidFill>
                <a:schemeClr val="bg1">
                  <a:lumMod val="950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400" b="0" i="0" u="none" strike="noStrike" kern="1200" baseline="0">
                <a:solidFill>
                  <a:schemeClr val="tx1">
                    <a:lumMod val="65000"/>
                    <a:lumOff val="35000"/>
                  </a:schemeClr>
                </a:solidFill>
                <a:latin typeface="Arial" panose="020B0604020202020204" pitchFamily="7" charset="0"/>
                <a:ea typeface="+mn-ea"/>
                <a:cs typeface="Arial" panose="020B0604020202020204" pitchFamily="7" charset="0"/>
              </a:defRPr>
            </a:pPr>
          </a:p>
        </c:txPr>
        <c:crossAx val="565595743"/>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accent1"/>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a:defRPr lang="zh-CN" sz="1400" b="1" i="0" u="none" strike="noStrike" kern="1200" spc="0" baseline="0">
                <a:solidFill>
                  <a:srgbClr val="00B050"/>
                </a:solidFill>
                <a:latin typeface="方正楷体简体" panose="03000509000000000000" charset="-122"/>
                <a:ea typeface="方正楷体简体" panose="03000509000000000000" charset="-122"/>
                <a:cs typeface="方正楷体简体" panose="03000509000000000000" charset="-122"/>
                <a:sym typeface="方正楷体简体" panose="03000509000000000000" charset="-122"/>
              </a:defRPr>
            </a:pPr>
            <a:r>
              <a:rPr lang="en-US" altLang="zh-CN" b="1">
                <a:solidFill>
                  <a:srgbClr val="00B050"/>
                </a:solidFill>
                <a:latin typeface="方正楷体简体" panose="03000509000000000000" charset="-122"/>
                <a:ea typeface="方正楷体简体" panose="03000509000000000000" charset="-122"/>
                <a:cs typeface="方正楷体简体" panose="03000509000000000000" charset="-122"/>
                <a:sym typeface="方正楷体简体" panose="03000509000000000000" charset="-122"/>
              </a:rPr>
              <a:t>“</a:t>
            </a:r>
            <a:r>
              <a:rPr altLang="en-US" b="1">
                <a:solidFill>
                  <a:srgbClr val="00B050"/>
                </a:solidFill>
                <a:latin typeface="方正楷体简体" panose="03000509000000000000" charset="-122"/>
                <a:ea typeface="方正楷体简体" panose="03000509000000000000" charset="-122"/>
                <a:cs typeface="方正楷体简体" panose="03000509000000000000" charset="-122"/>
                <a:sym typeface="方正楷体简体" panose="03000509000000000000" charset="-122"/>
              </a:rPr>
              <a:t>十四五</a:t>
            </a:r>
            <a:r>
              <a:rPr lang="en-US" altLang="zh-CN" b="1">
                <a:solidFill>
                  <a:srgbClr val="00B050"/>
                </a:solidFill>
                <a:latin typeface="方正楷体简体" panose="03000509000000000000" charset="-122"/>
                <a:ea typeface="方正楷体简体" panose="03000509000000000000" charset="-122"/>
                <a:cs typeface="方正楷体简体" panose="03000509000000000000" charset="-122"/>
                <a:sym typeface="方正楷体简体" panose="03000509000000000000" charset="-122"/>
              </a:rPr>
              <a:t>”</a:t>
            </a:r>
            <a:r>
              <a:rPr altLang="en-US" b="1">
                <a:solidFill>
                  <a:srgbClr val="00B050"/>
                </a:solidFill>
                <a:latin typeface="方正楷体简体" panose="03000509000000000000" charset="-122"/>
                <a:ea typeface="方正楷体简体" panose="03000509000000000000" charset="-122"/>
                <a:cs typeface="方正楷体简体" panose="03000509000000000000" charset="-122"/>
                <a:sym typeface="方正楷体简体" panose="03000509000000000000" charset="-122"/>
              </a:rPr>
              <a:t>乡村振兴战略计划项目投资金额</a:t>
            </a:r>
            <a:endParaRPr lang="en-US" altLang="zh-CN" b="1">
              <a:solidFill>
                <a:srgbClr val="00B050"/>
              </a:solidFill>
              <a:latin typeface="方正楷体简体" panose="03000509000000000000" charset="-122"/>
              <a:ea typeface="方正楷体简体" panose="03000509000000000000" charset="-122"/>
              <a:cs typeface="方正楷体简体" panose="03000509000000000000" charset="-122"/>
              <a:sym typeface="方正楷体简体" panose="03000509000000000000" charset="-122"/>
            </a:endParaRPr>
          </a:p>
        </c:rich>
      </c:tx>
      <c:layout>
        <c:manualLayout>
          <c:xMode val="edge"/>
          <c:yMode val="edge"/>
          <c:x val="0.164125718306556"/>
          <c:y val="0.0306859205776173"/>
        </c:manualLayout>
      </c:layout>
      <c:overlay val="0"/>
      <c:spPr>
        <a:noFill/>
        <a:ln>
          <a:noFill/>
        </a:ln>
        <a:effectLst/>
      </c:spPr>
    </c:title>
    <c:autoTitleDeleted val="0"/>
    <c:plotArea>
      <c:layout/>
      <c:barChart>
        <c:barDir val="bar"/>
        <c:grouping val="clustered"/>
        <c:varyColors val="0"/>
        <c:ser>
          <c:idx val="0"/>
          <c:order val="0"/>
          <c:spPr>
            <a:solidFill>
              <a:schemeClr val="accent6"/>
            </a:solidFill>
            <a:ln>
              <a:noFill/>
            </a:ln>
            <a:effectLst/>
          </c:spPr>
          <c:invertIfNegative val="0"/>
          <c:dLbls>
            <c:dLbl>
              <c:idx val="0"/>
              <c:layout>
                <c:manualLayout>
                  <c:x val="-0.0108403992701513"/>
                  <c:y val="-0.083253128007699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'[（汇总）附件2：楚雄州“十四五”项目规划表(元谋县林草局意见征询表)2021.9.9.xlsx]图形'!$A$71:$A$73</c:f>
              <c:strCache>
                <c:ptCount val="3"/>
                <c:pt idx="0">
                  <c:v>“三沿”（路沿、水沿、村沿）区域植树生态保护与修复项目</c:v>
                </c:pt>
                <c:pt idx="1">
                  <c:v>生态文明示范村建设</c:v>
                </c:pt>
                <c:pt idx="2">
                  <c:v>元谋县森林康养产业融合生态园项目</c:v>
                </c:pt>
              </c:strCache>
            </c:strRef>
          </c:cat>
          <c:val>
            <c:numRef>
              <c:f>'[（汇总）附件2：楚雄州“十四五”项目规划表(元谋县林草局意见征询表)2021.9.9.xlsx]图形'!$B$71:$B$73</c:f>
              <c:numCache>
                <c:formatCode>0.00_ </c:formatCode>
                <c:ptCount val="3"/>
                <c:pt idx="0">
                  <c:v>6500</c:v>
                </c:pt>
                <c:pt idx="1">
                  <c:v>5500</c:v>
                </c:pt>
                <c:pt idx="2">
                  <c:v>6000</c:v>
                </c:pt>
              </c:numCache>
            </c:numRef>
          </c:val>
        </c:ser>
        <c:dLbls>
          <c:showLegendKey val="0"/>
          <c:showVal val="0"/>
          <c:showCatName val="0"/>
          <c:showSerName val="0"/>
          <c:showPercent val="0"/>
          <c:showBubbleSize val="0"/>
        </c:dLbls>
        <c:gapWidth val="150"/>
        <c:axId val="802961167"/>
        <c:axId val="679280237"/>
      </c:barChart>
      <c:catAx>
        <c:axId val="802961167"/>
        <c:scaling>
          <c:orientation val="minMax"/>
        </c:scaling>
        <c:delete val="0"/>
        <c:axPos val="l"/>
        <c:numFmt formatCode="General" sourceLinked="1"/>
        <c:majorTickMark val="out"/>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1" i="0" u="none" strike="noStrike" kern="1200" baseline="0">
                <a:solidFill>
                  <a:schemeClr val="tx1">
                    <a:lumMod val="65000"/>
                    <a:lumOff val="35000"/>
                  </a:schemeClr>
                </a:solidFill>
                <a:latin typeface="微软雅黑" panose="020B0503020204020204" charset="-122"/>
                <a:ea typeface="微软雅黑" panose="020B0503020204020204" charset="-122"/>
                <a:cs typeface="+mn-cs"/>
              </a:defRPr>
            </a:pPr>
          </a:p>
        </c:txPr>
        <c:crossAx val="679280237"/>
        <c:crosses val="autoZero"/>
        <c:auto val="1"/>
        <c:lblAlgn val="ctr"/>
        <c:lblOffset val="100"/>
        <c:noMultiLvlLbl val="0"/>
      </c:catAx>
      <c:valAx>
        <c:axId val="679280237"/>
        <c:scaling>
          <c:orientation val="minMax"/>
        </c:scaling>
        <c:delete val="0"/>
        <c:axPos val="b"/>
        <c:majorGridlines>
          <c:spPr>
            <a:ln w="9525" cap="flat" cmpd="sng" algn="ctr">
              <a:solidFill>
                <a:schemeClr val="bg1">
                  <a:lumMod val="950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600" b="0" i="0" u="none" strike="noStrike" kern="1200" baseline="0">
                <a:solidFill>
                  <a:schemeClr val="tx1">
                    <a:lumMod val="65000"/>
                    <a:lumOff val="35000"/>
                  </a:schemeClr>
                </a:solidFill>
                <a:latin typeface="Arial" panose="020B0604020202020204" pitchFamily="7" charset="0"/>
                <a:ea typeface="+mn-ea"/>
                <a:cs typeface="Arial" panose="020B0604020202020204" pitchFamily="7" charset="0"/>
              </a:defRPr>
            </a:pPr>
          </a:p>
        </c:txPr>
        <c:crossAx val="802961167"/>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accent1"/>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a:defRPr lang="zh-CN" sz="1400" b="1" i="0" u="none" strike="noStrike" kern="1200" spc="0" baseline="0">
                <a:solidFill>
                  <a:srgbClr val="00B050"/>
                </a:solidFill>
                <a:latin typeface="方正楷体简体" panose="03000509000000000000" charset="-122"/>
                <a:ea typeface="方正楷体简体" panose="03000509000000000000" charset="-122"/>
                <a:cs typeface="方正楷体简体" panose="03000509000000000000" charset="-122"/>
                <a:sym typeface="方正楷体简体" panose="03000509000000000000" charset="-122"/>
              </a:defRPr>
            </a:pPr>
            <a:r>
              <a:rPr lang="en-US" altLang="zh-CN" b="1">
                <a:solidFill>
                  <a:srgbClr val="00B050"/>
                </a:solidFill>
                <a:latin typeface="方正楷体简体" panose="03000509000000000000" charset="-122"/>
                <a:ea typeface="方正楷体简体" panose="03000509000000000000" charset="-122"/>
                <a:cs typeface="方正楷体简体" panose="03000509000000000000" charset="-122"/>
                <a:sym typeface="方正楷体简体" panose="03000509000000000000" charset="-122"/>
              </a:rPr>
              <a:t>“</a:t>
            </a:r>
            <a:r>
              <a:rPr altLang="en-US" b="1">
                <a:solidFill>
                  <a:srgbClr val="00B050"/>
                </a:solidFill>
                <a:latin typeface="方正楷体简体" panose="03000509000000000000" charset="-122"/>
                <a:ea typeface="方正楷体简体" panose="03000509000000000000" charset="-122"/>
                <a:cs typeface="方正楷体简体" panose="03000509000000000000" charset="-122"/>
                <a:sym typeface="方正楷体简体" panose="03000509000000000000" charset="-122"/>
              </a:rPr>
              <a:t>十四五</a:t>
            </a:r>
            <a:r>
              <a:rPr lang="en-US" altLang="zh-CN" b="1">
                <a:solidFill>
                  <a:srgbClr val="00B050"/>
                </a:solidFill>
                <a:latin typeface="方正楷体简体" panose="03000509000000000000" charset="-122"/>
                <a:ea typeface="方正楷体简体" panose="03000509000000000000" charset="-122"/>
                <a:cs typeface="方正楷体简体" panose="03000509000000000000" charset="-122"/>
                <a:sym typeface="方正楷体简体" panose="03000509000000000000" charset="-122"/>
              </a:rPr>
              <a:t>”</a:t>
            </a:r>
            <a:r>
              <a:rPr altLang="en-US" b="1">
                <a:solidFill>
                  <a:srgbClr val="00B050"/>
                </a:solidFill>
                <a:latin typeface="方正楷体简体" panose="03000509000000000000" charset="-122"/>
                <a:ea typeface="方正楷体简体" panose="03000509000000000000" charset="-122"/>
                <a:cs typeface="方正楷体简体" panose="03000509000000000000" charset="-122"/>
                <a:sym typeface="方正楷体简体" panose="03000509000000000000" charset="-122"/>
              </a:rPr>
              <a:t>防灾减灾和基础能力建设计划项目投资金额</a:t>
            </a:r>
            <a:endParaRPr lang="en-US" altLang="zh-CN" b="1">
              <a:solidFill>
                <a:srgbClr val="00B050"/>
              </a:solidFill>
              <a:latin typeface="方正楷体简体" panose="03000509000000000000" charset="-122"/>
              <a:ea typeface="方正楷体简体" panose="03000509000000000000" charset="-122"/>
              <a:cs typeface="方正楷体简体" panose="03000509000000000000" charset="-122"/>
              <a:sym typeface="方正楷体简体" panose="03000509000000000000" charset="-122"/>
            </a:endParaRPr>
          </a:p>
        </c:rich>
      </c:tx>
      <c:layout>
        <c:manualLayout>
          <c:xMode val="edge"/>
          <c:yMode val="edge"/>
          <c:x val="0.131183745583039"/>
          <c:y val="0.0350634371395617"/>
        </c:manualLayout>
      </c:layout>
      <c:overlay val="0"/>
      <c:spPr>
        <a:noFill/>
        <a:ln>
          <a:noFill/>
        </a:ln>
        <a:effectLst/>
      </c:spPr>
    </c:title>
    <c:autoTitleDeleted val="0"/>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'[（汇总）附件2：楚雄州“十四五”项目规划表(元谋县林草局意见征询表)2021.9.9.xlsx]图形'!$A$59:$A$62</c:f>
              <c:strCache>
                <c:ptCount val="4"/>
                <c:pt idx="0">
                  <c:v>元谋县长江经济带干流支流森林草原防灭火基础设施建设项目</c:v>
                </c:pt>
                <c:pt idx="1">
                  <c:v>元谋县森林和草原有害生物防治项目</c:v>
                </c:pt>
                <c:pt idx="2">
                  <c:v>元谋县森林草原病虫害监测信息系统建设项目</c:v>
                </c:pt>
                <c:pt idx="3">
                  <c:v>元谋县森林和草原病虫害防治项目</c:v>
                </c:pt>
              </c:strCache>
            </c:strRef>
          </c:cat>
          <c:val>
            <c:numRef>
              <c:f>'[（汇总）附件2：楚雄州“十四五”项目规划表(元谋县林草局意见征询表)2021.9.9.xlsx]图形'!$B$59:$B$62</c:f>
              <c:numCache>
                <c:formatCode>0.00_ </c:formatCode>
                <c:ptCount val="4"/>
                <c:pt idx="0">
                  <c:v>9040</c:v>
                </c:pt>
                <c:pt idx="1">
                  <c:v>2575</c:v>
                </c:pt>
                <c:pt idx="2">
                  <c:v>860</c:v>
                </c:pt>
                <c:pt idx="3">
                  <c:v>375</c:v>
                </c:pt>
              </c:numCache>
            </c:numRef>
          </c:val>
        </c:ser>
        <c:dLbls>
          <c:showLegendKey val="0"/>
          <c:showVal val="1"/>
          <c:showCatName val="0"/>
          <c:showSerName val="0"/>
          <c:showPercent val="0"/>
          <c:showBubbleSize val="0"/>
        </c:dLbls>
        <c:gapWidth val="150"/>
        <c:axId val="960387504"/>
        <c:axId val="549044848"/>
      </c:barChart>
      <c:catAx>
        <c:axId val="960387504"/>
        <c:scaling>
          <c:orientation val="minMax"/>
        </c:scaling>
        <c:delete val="0"/>
        <c:axPos val="l"/>
        <c:numFmt formatCode="General" sourceLinked="1"/>
        <c:majorTickMark val="out"/>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1" i="0" u="none" strike="noStrike" kern="1200" baseline="0">
                <a:solidFill>
                  <a:schemeClr val="tx1">
                    <a:lumMod val="65000"/>
                    <a:lumOff val="35000"/>
                  </a:schemeClr>
                </a:solidFill>
                <a:latin typeface="微软雅黑" panose="020B0503020204020204" charset="-122"/>
                <a:ea typeface="微软雅黑" panose="020B0503020204020204" charset="-122"/>
                <a:cs typeface="+mn-cs"/>
              </a:defRPr>
            </a:pPr>
          </a:p>
        </c:txPr>
        <c:crossAx val="549044848"/>
        <c:crosses val="autoZero"/>
        <c:auto val="1"/>
        <c:lblAlgn val="ctr"/>
        <c:lblOffset val="100"/>
        <c:noMultiLvlLbl val="0"/>
      </c:catAx>
      <c:valAx>
        <c:axId val="549044848"/>
        <c:scaling>
          <c:orientation val="minMax"/>
        </c:scaling>
        <c:delete val="0"/>
        <c:axPos val="b"/>
        <c:majorGridlines>
          <c:spPr>
            <a:ln w="9525" cap="flat" cmpd="sng" algn="ctr">
              <a:solidFill>
                <a:schemeClr val="bg1">
                  <a:lumMod val="950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500" b="0" i="0" u="none" strike="noStrike" kern="1200" baseline="0">
                <a:solidFill>
                  <a:schemeClr val="tx1">
                    <a:lumMod val="65000"/>
                    <a:lumOff val="35000"/>
                  </a:schemeClr>
                </a:solidFill>
                <a:latin typeface="Arial" panose="020B0604020202020204" pitchFamily="7" charset="0"/>
                <a:ea typeface="+mn-ea"/>
                <a:cs typeface="Arial" panose="020B0604020202020204" pitchFamily="7" charset="0"/>
              </a:defRPr>
            </a:pPr>
          </a:p>
        </c:txPr>
        <c:crossAx val="96038750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accent1"/>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9">
  <a:schemeClr val="accent6"/>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楚雄州元谋县党政机关单位</Company>
  <Pages>69</Pages>
  <Words>34950</Words>
  <Characters>37514</Characters>
  <Lines>0</Lines>
  <Paragraphs>0</Paragraphs>
  <TotalTime>23</TotalTime>
  <ScaleCrop>false</ScaleCrop>
  <LinksUpToDate>false</LinksUpToDate>
  <CharactersWithSpaces>37972</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2020-10-29T16:18:00Z</dcterms:created>
  <dc:creator>Administrator</dc:creator>
  <cp:lastModifiedBy>刘玲</cp:lastModifiedBy>
  <cp:lastPrinted>2022-06-21T00:03:00Z</cp:lastPrinted>
  <dcterms:modified xsi:type="dcterms:W3CDTF">2023-12-20T06:58:46Z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y fmtid="{D5CDD505-2E9C-101B-9397-08002B2CF9AE}" pid="3" name="ICV">
    <vt:lpwstr>D28C733431DF4926B1E166B90EC1AC4E</vt:lpwstr>
  </property>
</Properties>
</file>